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1F33" w14:textId="77777777" w:rsidR="00A40CA0" w:rsidRDefault="00000000" w:rsidP="00747D8F">
      <w:pPr>
        <w:spacing w:before="720" w:after="480"/>
      </w:pPr>
      <w:r>
        <w:rPr>
          <w:sz w:val="40"/>
          <w:szCs w:val="40"/>
        </w:rPr>
        <w:t>UW RECHTEN ALS KLANT</w:t>
      </w:r>
    </w:p>
    <w:p w14:paraId="5F4F6332" w14:textId="0C182197" w:rsidR="00A40CA0" w:rsidRDefault="004D77FA">
      <w:pPr>
        <w:spacing w:after="200" w:line="288" w:lineRule="auto"/>
        <w:jc w:val="both"/>
      </w:pPr>
      <w:r w:rsidRPr="004D77FA">
        <w:t xml:space="preserve">Dit document is de samenvatting van de rechten van de belegger die Wealtheon NV (hierna "Wealtheon") ter beschikking stelt overeenkomstig artikel 4, lid 3 van Verordening (EU) 2019/1156 inzake de grensoverschrijdende distributie van beleggingsfondsen. Het geeft u een overzicht van uw belangrijkste rechten als cliënt en belegger. Die rechten vinden hun grondslag in de toepasselijke financiële regelgeving </w:t>
      </w:r>
      <w:r>
        <w:t>-</w:t>
      </w:r>
      <w:r w:rsidRPr="004D77FA">
        <w:t xml:space="preserve"> onder meer de MiFID II-gedragsregels (Richtlijn 2014/65/EU en Gedelegeerde Verordening (EU) 2017/565) en de regelgeving voor instellingen voor collectieve belegging </w:t>
      </w:r>
      <w:r>
        <w:t>-</w:t>
      </w:r>
      <w:r w:rsidRPr="004D77FA">
        <w:t xml:space="preserve"> zoals omgezet in Belgisch recht.</w:t>
      </w:r>
    </w:p>
    <w:p w14:paraId="039D5141" w14:textId="77777777" w:rsidR="00A40CA0" w:rsidRDefault="00000000">
      <w:pPr>
        <w:pStyle w:val="Kop1"/>
      </w:pPr>
      <w:r>
        <w:t>Uw rechten in het kort</w:t>
      </w:r>
    </w:p>
    <w:p w14:paraId="4542E728" w14:textId="77777777" w:rsidR="00A40CA0" w:rsidRDefault="00000000">
      <w:pPr>
        <w:pStyle w:val="Lijstalinea"/>
        <w:numPr>
          <w:ilvl w:val="0"/>
          <w:numId w:val="2"/>
        </w:numPr>
        <w:spacing w:after="160" w:line="288" w:lineRule="auto"/>
        <w:jc w:val="both"/>
      </w:pPr>
      <w:r>
        <w:t>Wealtheon behandelt u op een loyale, eerlijke en professionele wijze, steeds met uw belang voor ogen en in overeenstemming met de toepasselijke wetgeving.</w:t>
      </w:r>
    </w:p>
    <w:p w14:paraId="32AABA61" w14:textId="77777777" w:rsidR="00A40CA0" w:rsidRDefault="00000000">
      <w:pPr>
        <w:pStyle w:val="Lijstalinea"/>
        <w:numPr>
          <w:ilvl w:val="0"/>
          <w:numId w:val="2"/>
        </w:numPr>
        <w:spacing w:after="160" w:line="288" w:lineRule="auto"/>
        <w:jc w:val="both"/>
      </w:pPr>
      <w:r>
        <w:t>Onze dienstverlening is objectief en steunt op een gedegen analyse, een zorgvuldige afweging en een gewetensvolle inzet.</w:t>
      </w:r>
    </w:p>
    <w:p w14:paraId="5ABCF4B4" w14:textId="77777777" w:rsidR="00A40CA0" w:rsidRDefault="00000000">
      <w:pPr>
        <w:pStyle w:val="Lijstalinea"/>
        <w:numPr>
          <w:ilvl w:val="0"/>
          <w:numId w:val="2"/>
        </w:numPr>
        <w:spacing w:after="160" w:line="288" w:lineRule="auto"/>
        <w:jc w:val="both"/>
      </w:pPr>
      <w:r>
        <w:t>Klanten die zich in vergelijkbare omstandigheden bevinden, mogen op een vergelijkbare behandeling rekenen.</w:t>
      </w:r>
    </w:p>
    <w:p w14:paraId="1E047296" w14:textId="77777777" w:rsidR="00A40CA0" w:rsidRDefault="00000000">
      <w:pPr>
        <w:pStyle w:val="Lijstalinea"/>
        <w:numPr>
          <w:ilvl w:val="0"/>
          <w:numId w:val="2"/>
        </w:numPr>
        <w:spacing w:after="160" w:line="288" w:lineRule="auto"/>
        <w:jc w:val="both"/>
      </w:pPr>
      <w:r>
        <w:t>Uw financiële belangen krijgen voorrang op die van Wealtheon en haar medewerkers.</w:t>
      </w:r>
    </w:p>
    <w:p w14:paraId="2BACAC20" w14:textId="77777777" w:rsidR="00A40CA0" w:rsidRDefault="00000000">
      <w:pPr>
        <w:pStyle w:val="Lijstalinea"/>
        <w:numPr>
          <w:ilvl w:val="0"/>
          <w:numId w:val="2"/>
        </w:numPr>
        <w:spacing w:after="160" w:line="288" w:lineRule="auto"/>
        <w:jc w:val="both"/>
      </w:pPr>
      <w:r>
        <w:t>U wordt geïnformeerd over mogelijke en werkelijke belangenconflicten, en over de maatregelen waarmee Wealtheon deze beheerst of beperkt.</w:t>
      </w:r>
    </w:p>
    <w:p w14:paraId="1A5413FB" w14:textId="77777777" w:rsidR="00A40CA0" w:rsidRDefault="00000000">
      <w:pPr>
        <w:pStyle w:val="Lijstalinea"/>
        <w:numPr>
          <w:ilvl w:val="0"/>
          <w:numId w:val="2"/>
        </w:numPr>
        <w:spacing w:after="160" w:line="288" w:lineRule="auto"/>
        <w:jc w:val="both"/>
      </w:pPr>
      <w:r>
        <w:t>De dienstverlening die u ontvangt is geschikt en passend, en houdt rekening met uw kennis, ervaring, financiële situatie en beleggingsdoelstellingen.</w:t>
      </w:r>
    </w:p>
    <w:p w14:paraId="268F3B2F" w14:textId="341C52FE" w:rsidR="00A40CA0" w:rsidRPr="00123B35" w:rsidRDefault="00AC5A0B">
      <w:pPr>
        <w:pStyle w:val="Lijstalinea"/>
        <w:numPr>
          <w:ilvl w:val="0"/>
          <w:numId w:val="2"/>
        </w:numPr>
        <w:spacing w:after="160" w:line="288" w:lineRule="auto"/>
        <w:jc w:val="both"/>
      </w:pPr>
      <w:r w:rsidRPr="00123B35">
        <w:t>Bij de doorgifte van uw orders past Wealtheon haar best selection-beleid toe en neemt zij alle toereikende maatregelen om de uitvoerende partij te selecteren die naar verwachting het best mogelijke resultaat voor u kan behalen.</w:t>
      </w:r>
    </w:p>
    <w:p w14:paraId="5FDE39FD" w14:textId="77777777" w:rsidR="00A40CA0" w:rsidRDefault="00000000">
      <w:pPr>
        <w:pStyle w:val="Lijstalinea"/>
        <w:numPr>
          <w:ilvl w:val="0"/>
          <w:numId w:val="2"/>
        </w:numPr>
        <w:spacing w:after="160" w:line="288" w:lineRule="auto"/>
        <w:jc w:val="both"/>
      </w:pPr>
      <w:r>
        <w:t>U ontvangt duidelijke, juiste, volledige en tijdige informatie, in correct en begrijpelijk taalgebruik en in een vorm die niet misleidend is.</w:t>
      </w:r>
    </w:p>
    <w:p w14:paraId="6B63766D" w14:textId="77777777" w:rsidR="00A40CA0" w:rsidRDefault="00000000">
      <w:pPr>
        <w:pStyle w:val="Lijstalinea"/>
        <w:numPr>
          <w:ilvl w:val="0"/>
          <w:numId w:val="2"/>
        </w:numPr>
        <w:spacing w:after="160" w:line="288" w:lineRule="auto"/>
        <w:jc w:val="both"/>
      </w:pPr>
      <w:r>
        <w:t>U wordt periodiek op de hoogte gehouden van de voor u verrichte diensten en van de stand en de evolutie van uw portefeuille en uw transacties.</w:t>
      </w:r>
    </w:p>
    <w:p w14:paraId="61C3136E" w14:textId="77777777" w:rsidR="00A40CA0" w:rsidRDefault="00000000">
      <w:pPr>
        <w:pStyle w:val="Lijstalinea"/>
        <w:numPr>
          <w:ilvl w:val="0"/>
          <w:numId w:val="2"/>
        </w:numPr>
        <w:spacing w:after="160" w:line="288" w:lineRule="auto"/>
        <w:jc w:val="both"/>
      </w:pPr>
      <w:r>
        <w:t>Alle vergoedingen en kosten die u worden aangerekend, deelt Wealtheon u vooraf en op transparante wijze mee.</w:t>
      </w:r>
    </w:p>
    <w:p w14:paraId="13CD4917" w14:textId="77777777" w:rsidR="00A40CA0" w:rsidRDefault="00000000">
      <w:pPr>
        <w:pStyle w:val="Lijstalinea"/>
        <w:numPr>
          <w:ilvl w:val="0"/>
          <w:numId w:val="2"/>
        </w:numPr>
        <w:spacing w:after="160" w:line="288" w:lineRule="auto"/>
        <w:jc w:val="both"/>
      </w:pPr>
      <w:r>
        <w:lastRenderedPageBreak/>
        <w:t xml:space="preserve">Wealtheon verwerkt en bewaart uw persoonsgegevens. Hoe wij daarmee omgaan en welke rechten u heeft ter bescherming van uw privacy, leest u in ons privacybeleid: </w:t>
      </w:r>
      <w:hyperlink r:id="rId7" w:history="1">
        <w:r>
          <w:rPr>
            <w:color w:val="0563C1"/>
            <w:u w:val="single"/>
          </w:rPr>
          <w:t>https://www</w:t>
        </w:r>
        <w:r>
          <w:rPr>
            <w:color w:val="0563C1"/>
            <w:u w:val="single"/>
          </w:rPr>
          <w:t>.</w:t>
        </w:r>
        <w:r>
          <w:rPr>
            <w:color w:val="0563C1"/>
            <w:u w:val="single"/>
          </w:rPr>
          <w:t>wealtheon.eu/privacy</w:t>
        </w:r>
      </w:hyperlink>
      <w:r>
        <w:t>.</w:t>
      </w:r>
    </w:p>
    <w:p w14:paraId="6AEB78E6" w14:textId="77777777" w:rsidR="00A40CA0" w:rsidRDefault="00000000">
      <w:pPr>
        <w:pStyle w:val="Lijstalinea"/>
        <w:numPr>
          <w:ilvl w:val="0"/>
          <w:numId w:val="2"/>
        </w:numPr>
        <w:spacing w:after="160" w:line="288" w:lineRule="auto"/>
        <w:jc w:val="both"/>
      </w:pPr>
      <w:r>
        <w:t>Komt Wealtheon haar verplichtingen niet na, dan kunt u een klacht indienen – zowel bij Wealtheon zelf als bij de bevoegde toezichthouder.</w:t>
      </w:r>
    </w:p>
    <w:p w14:paraId="6689F4DB" w14:textId="77777777" w:rsidR="00A40CA0" w:rsidRDefault="00000000">
      <w:pPr>
        <w:pStyle w:val="Lijstalinea"/>
        <w:numPr>
          <w:ilvl w:val="0"/>
          <w:numId w:val="2"/>
        </w:numPr>
        <w:spacing w:after="160" w:line="288" w:lineRule="auto"/>
        <w:jc w:val="both"/>
      </w:pPr>
      <w:r>
        <w:t>U kunt uw overeenkomst met Wealtheon op elk ogenblik eenzijdig beëindigen, met inachtneming van de contractuele voorwaarden. Wealtheon beschikt over hetzelfde recht, onder diezelfde voorwaarden.</w:t>
      </w:r>
    </w:p>
    <w:p w14:paraId="55836593" w14:textId="77777777" w:rsidR="00A40CA0" w:rsidRDefault="00000000">
      <w:pPr>
        <w:pStyle w:val="Lijstalinea"/>
        <w:numPr>
          <w:ilvl w:val="0"/>
          <w:numId w:val="2"/>
        </w:numPr>
        <w:spacing w:after="160" w:line="288" w:lineRule="auto"/>
        <w:jc w:val="both"/>
      </w:pPr>
      <w:r>
        <w:t>Wealtheon kan beslissen de regeling voor de verhandeling van haar huisfondsen stop te zetten; u wordt daarvan op de hoogte gebracht.</w:t>
      </w:r>
    </w:p>
    <w:p w14:paraId="2CDCA773" w14:textId="587CC06A" w:rsidR="00A40CA0" w:rsidRDefault="004F5D5B">
      <w:pPr>
        <w:pStyle w:val="Lijstalinea"/>
        <w:numPr>
          <w:ilvl w:val="0"/>
          <w:numId w:val="2"/>
        </w:numPr>
        <w:spacing w:after="160" w:line="288" w:lineRule="auto"/>
        <w:jc w:val="both"/>
      </w:pPr>
      <w:r w:rsidRPr="004F5D5B">
        <w:t>Voor de toegang tot mechanismen voor collectief verhaal in geval van een geschil: in België via de rechtsvordering tot collectief herstel (Boek XVII, Titel 2 WER), en op EU-niveau via de regeling voor representatieve vorderingen (Richtlijn (EU) 2020/1828).</w:t>
      </w:r>
    </w:p>
    <w:p w14:paraId="2810A199" w14:textId="0BB33FE4" w:rsidR="00A40CA0" w:rsidRDefault="00000000">
      <w:pPr>
        <w:pStyle w:val="Kop1"/>
      </w:pPr>
      <w:r>
        <w:t>Wealtheon NV</w:t>
      </w:r>
    </w:p>
    <w:p w14:paraId="2114349D" w14:textId="77777777" w:rsidR="00A40CA0" w:rsidRDefault="00000000">
      <w:pPr>
        <w:spacing w:after="200" w:line="288" w:lineRule="auto"/>
        <w:jc w:val="both"/>
      </w:pPr>
      <w:r>
        <w:t>Deze publicatie (2026) is afkomstig van Wealtheon NV, met maatschappelijke zetel te Waterloosesteenweg 1135, 1180 Brussel – ondernemingsnummer/BTW BE 0423.072.032.</w:t>
      </w:r>
    </w:p>
    <w:p w14:paraId="1F333032" w14:textId="77777777" w:rsidR="00A40CA0" w:rsidRDefault="00000000">
      <w:pPr>
        <w:spacing w:after="200" w:line="288" w:lineRule="auto"/>
        <w:jc w:val="both"/>
      </w:pPr>
      <w:r>
        <w:t>De inhoud is uitsluitend bedoeld ter informatie.</w:t>
      </w:r>
    </w:p>
    <w:p w14:paraId="09CCBABF" w14:textId="77777777" w:rsidR="00A40CA0" w:rsidRDefault="00000000">
      <w:pPr>
        <w:spacing w:after="200" w:line="288" w:lineRule="auto"/>
        <w:jc w:val="both"/>
      </w:pPr>
      <w:r>
        <w:t>Dit document houdt geen beleggingsadvies in en vormt evenmin een aanbod of een uitnodiging tot het kopen, aanhouden of verkopen van aandelen, obligaties, beleggingsfondsen of andere instrumenten.</w:t>
      </w:r>
    </w:p>
    <w:p w14:paraId="0E24D6EE" w14:textId="77777777" w:rsidR="00A40CA0" w:rsidRDefault="00000000">
      <w:pPr>
        <w:spacing w:after="200" w:line="288" w:lineRule="auto"/>
        <w:jc w:val="both"/>
      </w:pPr>
      <w:r>
        <w:t>Niets uit deze publicatie mag worden verveelvoudigd of verspreid, geheel noch gedeeltelijk, zonder de voorafgaande schriftelijke toestemming van Wealtheon NV. Wijzigingen aanbrengen kan enkel met haar uitdrukkelijke instemming.</w:t>
      </w:r>
    </w:p>
    <w:p w14:paraId="36561C03" w14:textId="77777777" w:rsidR="00A40CA0" w:rsidRDefault="00000000">
      <w:pPr>
        <w:spacing w:after="200" w:line="288" w:lineRule="auto"/>
        <w:jc w:val="both"/>
      </w:pPr>
      <w:r>
        <w:t>Deze publicatie is niet bestemd voor verspreiding of gebruik in landen of rechtsgebieden waar dat strijdig zou zijn met de geldende wet- of regelgeving, of waar Wealtheon NV daardoor aan registratieverplichtingen zou worden onderworpen.</w:t>
      </w:r>
    </w:p>
    <w:p w14:paraId="207D77BB" w14:textId="77777777" w:rsidR="00A40CA0" w:rsidRDefault="00000000">
      <w:pPr>
        <w:spacing w:after="200" w:line="288" w:lineRule="auto"/>
        <w:jc w:val="both"/>
      </w:pPr>
      <w:r>
        <w:t xml:space="preserve">Heeft u een klacht, richt u dan tot de klantendienst van Wealtheon NV (Waterloosesteenweg 1135, 1180 Brussel) of via </w:t>
      </w:r>
      <w:hyperlink r:id="rId8" w:history="1">
        <w:r>
          <w:rPr>
            <w:color w:val="0563C1"/>
            <w:u w:val="single"/>
          </w:rPr>
          <w:t>info@wealtheon.eu</w:t>
        </w:r>
      </w:hyperlink>
      <w:r>
        <w:t>. Blijft het geschil daarna bestaan, dan kunt u terecht bij de Consumentenombudsdienst (</w:t>
      </w:r>
      <w:hyperlink r:id="rId9" w:history="1">
        <w:r>
          <w:rPr>
            <w:color w:val="0563C1"/>
            <w:u w:val="single"/>
          </w:rPr>
          <w:t>www.consumentenombudsdienst.be</w:t>
        </w:r>
      </w:hyperlink>
      <w:r>
        <w:t xml:space="preserve">) of bij Ombudsfin, gespecialiseerd in financiële geschillen (North Gate II, Koning Albert II-laan 8, 1000 Brussel – </w:t>
      </w:r>
      <w:hyperlink r:id="rId10" w:history="1">
        <w:r>
          <w:rPr>
            <w:color w:val="0563C1"/>
            <w:u w:val="single"/>
          </w:rPr>
          <w:t>www.ombudsfin.be</w:t>
        </w:r>
      </w:hyperlink>
      <w:r>
        <w:t>).</w:t>
      </w:r>
    </w:p>
    <w:p w14:paraId="08671635" w14:textId="12EB5255" w:rsidR="00A40CA0" w:rsidRPr="00B4038C" w:rsidRDefault="00000000">
      <w:pPr>
        <w:spacing w:before="240" w:after="40"/>
        <w:rPr>
          <w:lang w:val="en-US"/>
        </w:rPr>
      </w:pPr>
      <w:r w:rsidRPr="00B4038C">
        <w:rPr>
          <w:b/>
          <w:bCs/>
          <w:lang w:val="en-US"/>
        </w:rPr>
        <w:t>Contact</w:t>
      </w:r>
      <w:r w:rsidR="00747D8F" w:rsidRPr="00B4038C">
        <w:rPr>
          <w:b/>
          <w:bCs/>
          <w:lang w:val="en-US"/>
        </w:rPr>
        <w:t xml:space="preserve"> &amp; website</w:t>
      </w:r>
    </w:p>
    <w:p w14:paraId="1D1E551A" w14:textId="199C0266" w:rsidR="00A40CA0" w:rsidRDefault="00000000" w:rsidP="00B4038C">
      <w:pPr>
        <w:spacing w:after="160"/>
      </w:pPr>
      <w:hyperlink r:id="rId11" w:history="1">
        <w:r w:rsidRPr="00B4038C">
          <w:rPr>
            <w:color w:val="0563C1"/>
            <w:u w:val="single"/>
            <w:lang w:val="en-US"/>
          </w:rPr>
          <w:t>info@wealtheon.eu</w:t>
        </w:r>
      </w:hyperlink>
      <w:r w:rsidR="00B4038C" w:rsidRPr="00B4038C">
        <w:rPr>
          <w:lang w:val="en-US"/>
        </w:rPr>
        <w:t xml:space="preserve"> </w:t>
      </w:r>
      <w:r w:rsidR="00B4038C">
        <w:rPr>
          <w:lang w:val="en-US"/>
        </w:rPr>
        <w:t xml:space="preserve">- </w:t>
      </w:r>
      <w:hyperlink r:id="rId12" w:history="1">
        <w:r>
          <w:rPr>
            <w:color w:val="0563C1"/>
            <w:u w:val="single"/>
          </w:rPr>
          <w:t>www.wealtheon.eu</w:t>
        </w:r>
      </w:hyperlink>
    </w:p>
    <w:sectPr w:rsidR="00A40CA0" w:rsidSect="00747D8F">
      <w:headerReference w:type="default" r:id="rId13"/>
      <w:footerReference w:type="default" r:id="rId14"/>
      <w:pgSz w:w="11906" w:h="16838"/>
      <w:pgMar w:top="1985" w:right="1555" w:bottom="1800" w:left="1555" w:header="86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5A037" w14:textId="77777777" w:rsidR="009E5005" w:rsidRDefault="009E5005">
      <w:r>
        <w:separator/>
      </w:r>
    </w:p>
  </w:endnote>
  <w:endnote w:type="continuationSeparator" w:id="0">
    <w:p w14:paraId="79DBF455" w14:textId="77777777" w:rsidR="009E5005" w:rsidRDefault="009E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FC336" w14:textId="77777777" w:rsidR="00A40CA0" w:rsidRDefault="00000000">
    <w:pPr>
      <w:pBdr>
        <w:top w:val="single" w:sz="4" w:space="6" w:color="BFBFBF"/>
      </w:pBdr>
      <w:tabs>
        <w:tab w:val="right" w:pos="8796"/>
      </w:tabs>
      <w:spacing w:before="60"/>
    </w:pPr>
    <w:r>
      <w:rPr>
        <w:sz w:val="16"/>
        <w:szCs w:val="16"/>
      </w:rPr>
      <w:t>Uw rechten als klant – V08062026</w:t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B90A7A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09A66" w14:textId="77777777" w:rsidR="009E5005" w:rsidRDefault="009E5005">
      <w:r>
        <w:separator/>
      </w:r>
    </w:p>
  </w:footnote>
  <w:footnote w:type="continuationSeparator" w:id="0">
    <w:p w14:paraId="0C784174" w14:textId="77777777" w:rsidR="009E5005" w:rsidRDefault="009E5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5097B" w14:textId="77777777" w:rsidR="00A40CA0" w:rsidRDefault="00000000">
    <w:pPr>
      <w:jc w:val="right"/>
    </w:pPr>
    <w:r>
      <w:rPr>
        <w:noProof/>
      </w:rPr>
      <w:drawing>
        <wp:inline distT="0" distB="0" distL="0" distR="0" wp14:anchorId="1BEEB56C" wp14:editId="2FB2BD56">
          <wp:extent cx="1504950" cy="514350"/>
          <wp:effectExtent l="0" t="0" r="0" b="0"/>
          <wp:docPr id="1517409346" name="Afbeelding 1517409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81EB9"/>
    <w:multiLevelType w:val="hybridMultilevel"/>
    <w:tmpl w:val="AB8EE4E2"/>
    <w:lvl w:ilvl="0" w:tplc="4A38B4D8">
      <w:start w:val="1"/>
      <w:numFmt w:val="bullet"/>
      <w:lvlText w:val="●"/>
      <w:lvlJc w:val="left"/>
      <w:pPr>
        <w:ind w:left="720" w:hanging="360"/>
      </w:pPr>
    </w:lvl>
    <w:lvl w:ilvl="1" w:tplc="3C38BD32">
      <w:start w:val="1"/>
      <w:numFmt w:val="bullet"/>
      <w:lvlText w:val="○"/>
      <w:lvlJc w:val="left"/>
      <w:pPr>
        <w:ind w:left="1440" w:hanging="360"/>
      </w:pPr>
    </w:lvl>
    <w:lvl w:ilvl="2" w:tplc="A1C22EAE">
      <w:start w:val="1"/>
      <w:numFmt w:val="bullet"/>
      <w:lvlText w:val="■"/>
      <w:lvlJc w:val="left"/>
      <w:pPr>
        <w:ind w:left="2160" w:hanging="360"/>
      </w:pPr>
    </w:lvl>
    <w:lvl w:ilvl="3" w:tplc="3E6AE1FC">
      <w:start w:val="1"/>
      <w:numFmt w:val="bullet"/>
      <w:lvlText w:val="●"/>
      <w:lvlJc w:val="left"/>
      <w:pPr>
        <w:ind w:left="2880" w:hanging="360"/>
      </w:pPr>
    </w:lvl>
    <w:lvl w:ilvl="4" w:tplc="1ED40A36">
      <w:start w:val="1"/>
      <w:numFmt w:val="bullet"/>
      <w:lvlText w:val="○"/>
      <w:lvlJc w:val="left"/>
      <w:pPr>
        <w:ind w:left="3600" w:hanging="360"/>
      </w:pPr>
    </w:lvl>
    <w:lvl w:ilvl="5" w:tplc="0FA0AF7A">
      <w:start w:val="1"/>
      <w:numFmt w:val="bullet"/>
      <w:lvlText w:val="■"/>
      <w:lvlJc w:val="left"/>
      <w:pPr>
        <w:ind w:left="4320" w:hanging="360"/>
      </w:pPr>
    </w:lvl>
    <w:lvl w:ilvl="6" w:tplc="5DEE0BD8">
      <w:start w:val="1"/>
      <w:numFmt w:val="bullet"/>
      <w:lvlText w:val="●"/>
      <w:lvlJc w:val="left"/>
      <w:pPr>
        <w:ind w:left="5040" w:hanging="360"/>
      </w:pPr>
    </w:lvl>
    <w:lvl w:ilvl="7" w:tplc="9B9C2BA6">
      <w:start w:val="1"/>
      <w:numFmt w:val="bullet"/>
      <w:lvlText w:val="●"/>
      <w:lvlJc w:val="left"/>
      <w:pPr>
        <w:ind w:left="5760" w:hanging="360"/>
      </w:pPr>
    </w:lvl>
    <w:lvl w:ilvl="8" w:tplc="0B1464F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F6D5151"/>
    <w:multiLevelType w:val="hybridMultilevel"/>
    <w:tmpl w:val="B7421452"/>
    <w:lvl w:ilvl="0" w:tplc="E30CD972">
      <w:start w:val="1"/>
      <w:numFmt w:val="decimal"/>
      <w:lvlText w:val="%1."/>
      <w:lvlJc w:val="left"/>
      <w:pPr>
        <w:ind w:left="425" w:hanging="425"/>
      </w:pPr>
    </w:lvl>
    <w:lvl w:ilvl="1" w:tplc="68306CB0">
      <w:numFmt w:val="decimal"/>
      <w:lvlText w:val=""/>
      <w:lvlJc w:val="left"/>
    </w:lvl>
    <w:lvl w:ilvl="2" w:tplc="F50EC02C">
      <w:numFmt w:val="decimal"/>
      <w:lvlText w:val=""/>
      <w:lvlJc w:val="left"/>
    </w:lvl>
    <w:lvl w:ilvl="3" w:tplc="CC0A48D6">
      <w:numFmt w:val="decimal"/>
      <w:lvlText w:val=""/>
      <w:lvlJc w:val="left"/>
    </w:lvl>
    <w:lvl w:ilvl="4" w:tplc="BFAEF0D6">
      <w:numFmt w:val="decimal"/>
      <w:lvlText w:val=""/>
      <w:lvlJc w:val="left"/>
    </w:lvl>
    <w:lvl w:ilvl="5" w:tplc="CE2884B4">
      <w:numFmt w:val="decimal"/>
      <w:lvlText w:val=""/>
      <w:lvlJc w:val="left"/>
    </w:lvl>
    <w:lvl w:ilvl="6" w:tplc="6276B9FE">
      <w:numFmt w:val="decimal"/>
      <w:lvlText w:val=""/>
      <w:lvlJc w:val="left"/>
    </w:lvl>
    <w:lvl w:ilvl="7" w:tplc="F90288F8">
      <w:numFmt w:val="decimal"/>
      <w:lvlText w:val=""/>
      <w:lvlJc w:val="left"/>
    </w:lvl>
    <w:lvl w:ilvl="8" w:tplc="277C2A34">
      <w:numFmt w:val="decimal"/>
      <w:lvlText w:val=""/>
      <w:lvlJc w:val="left"/>
    </w:lvl>
  </w:abstractNum>
  <w:num w:numId="1" w16cid:durableId="822545794">
    <w:abstractNumId w:val="0"/>
    <w:lvlOverride w:ilvl="0">
      <w:startOverride w:val="1"/>
    </w:lvlOverride>
  </w:num>
  <w:num w:numId="2" w16cid:durableId="57713367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CA0"/>
    <w:rsid w:val="000C7DA3"/>
    <w:rsid w:val="00123B35"/>
    <w:rsid w:val="004D77FA"/>
    <w:rsid w:val="004F5D5B"/>
    <w:rsid w:val="00571B54"/>
    <w:rsid w:val="00747D8F"/>
    <w:rsid w:val="0082304C"/>
    <w:rsid w:val="00887528"/>
    <w:rsid w:val="009E5005"/>
    <w:rsid w:val="00A40CA0"/>
    <w:rsid w:val="00AC5A0B"/>
    <w:rsid w:val="00B4038C"/>
    <w:rsid w:val="00B90A7A"/>
    <w:rsid w:val="00BB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EB61"/>
  <w15:docId w15:val="{4AD6A1D2-A9FB-4E8A-9345-4671AF4D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color w:val="595959"/>
        <w:sz w:val="22"/>
        <w:szCs w:val="22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spacing w:before="360" w:after="240"/>
      <w:outlineLvl w:val="0"/>
    </w:pPr>
    <w:rPr>
      <w:sz w:val="36"/>
      <w:szCs w:val="36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8875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87528"/>
  </w:style>
  <w:style w:type="paragraph" w:styleId="Voettekst">
    <w:name w:val="footer"/>
    <w:basedOn w:val="Standaard"/>
    <w:link w:val="VoettekstChar"/>
    <w:uiPriority w:val="99"/>
    <w:unhideWhenUsed/>
    <w:rsid w:val="0088752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87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ealtheon.e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ealtheon.eu/privacy" TargetMode="External"/><Relationship Id="rId12" Type="http://schemas.openxmlformats.org/officeDocument/2006/relationships/hyperlink" Target="https://www.wealtheon.e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wealtheon.e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ombudsfin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mentenombudsdienst.b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698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 Vermeersch</cp:lastModifiedBy>
  <cp:revision>13</cp:revision>
  <dcterms:created xsi:type="dcterms:W3CDTF">2026-06-08T14:11:00Z</dcterms:created>
  <dcterms:modified xsi:type="dcterms:W3CDTF">2026-06-08T14:32:00Z</dcterms:modified>
</cp:coreProperties>
</file>