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1F33" w14:textId="77777777" w:rsidR="00A40CA0" w:rsidRPr="005C216A" w:rsidRDefault="00E32163" w:rsidP="00747D8F">
      <w:pPr>
        <w:spacing w:before="720" w:after="480"/>
      </w:pPr>
      <w:r w:rsidRPr="005C216A">
        <w:rPr>
          <w:sz w:val="40"/>
          <w:szCs w:val="40"/>
        </w:rPr>
        <w:t>YOUR RIGHTS AS A CLIENT</w:t>
      </w:r>
    </w:p>
    <w:p w14:paraId="5F4F6332" w14:textId="76E78871" w:rsidR="00A40CA0" w:rsidRPr="005C216A" w:rsidRDefault="004D77FA">
      <w:pPr>
        <w:spacing w:after="200" w:line="288" w:lineRule="auto"/>
        <w:jc w:val="both"/>
      </w:pPr>
      <w:r w:rsidRPr="005C216A">
        <w:t xml:space="preserve">This document is </w:t>
      </w:r>
      <w:r w:rsidR="005C216A">
        <w:t>a</w:t>
      </w:r>
      <w:r w:rsidRPr="005C216A">
        <w:t xml:space="preserve"> summary of investor rights that </w:t>
      </w:r>
      <w:proofErr w:type="spellStart"/>
      <w:r w:rsidRPr="005C216A">
        <w:t>Wealtheon</w:t>
      </w:r>
      <w:proofErr w:type="spellEnd"/>
      <w:r w:rsidRPr="005C216A">
        <w:t xml:space="preserve"> NV (hereinafter “</w:t>
      </w:r>
      <w:proofErr w:type="spellStart"/>
      <w:r w:rsidRPr="005C216A">
        <w:t>Wealtheon</w:t>
      </w:r>
      <w:proofErr w:type="spellEnd"/>
      <w:r w:rsidRPr="005C216A">
        <w:t>”) makes available in accordance with Article 4(3) of Regulation (EU) 2019/1156 on the cross-border distribution of investment funds. It provides you with an overview of your key rights as a client and investor. These rights are grounded in the applicable financial regulations — including the MiFID II conduct of business rules (Directive 2014/65/EU and Delegated Regulation (EU) 2017/565) and the regulations governing collective investment undertakings — as transposed into Belgian law.</w:t>
      </w:r>
    </w:p>
    <w:p w14:paraId="039D5141" w14:textId="77777777" w:rsidR="00A40CA0" w:rsidRPr="005C216A" w:rsidRDefault="00E32163">
      <w:pPr>
        <w:pStyle w:val="Kop1"/>
        <w:rPr>
          <w:lang w:val="en-GB"/>
        </w:rPr>
      </w:pPr>
      <w:r w:rsidRPr="005C216A">
        <w:rPr>
          <w:lang w:val="en-GB"/>
        </w:rPr>
        <w:t>Your rights at a glance</w:t>
      </w:r>
    </w:p>
    <w:p w14:paraId="4542E728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treats you in a loyal, fair and professional manner, always with your interests in mind and in accordance with the applicable legislation.</w:t>
      </w:r>
    </w:p>
    <w:p w14:paraId="32AABA61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t>Our services are objective and based on thorough analysis, careful consideration and conscientious commitment.</w:t>
      </w:r>
    </w:p>
    <w:p w14:paraId="5ABCF4B4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t>Clients in comparable circumstances can expect comparable treatment.</w:t>
      </w:r>
    </w:p>
    <w:p w14:paraId="1E047296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t xml:space="preserve">Your financial interests take precedence over those of </w:t>
      </w: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and its staff.</w:t>
      </w:r>
    </w:p>
    <w:p w14:paraId="2BACAC20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t xml:space="preserve">You are informed of potential and actual conflicts of interest, and of the measures by which </w:t>
      </w: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manages or limits them.</w:t>
      </w:r>
    </w:p>
    <w:p w14:paraId="1A5413FB" w14:textId="1A4D7EEA" w:rsidR="00A40CA0" w:rsidRPr="005C216A" w:rsidRDefault="00981C88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981C88">
        <w:rPr>
          <w:lang w:val="en-GB"/>
        </w:rPr>
        <w:t>The services you receive are suitable and appropriate and take into account</w:t>
      </w:r>
      <w:r w:rsidR="00E32163" w:rsidRPr="005C216A">
        <w:rPr>
          <w:lang w:val="en-GB"/>
        </w:rPr>
        <w:t xml:space="preserve"> your knowledge, experience, financial situation and investment objectives.</w:t>
      </w:r>
    </w:p>
    <w:p w14:paraId="268F3B2F" w14:textId="1265408A" w:rsidR="00A40CA0" w:rsidRPr="005C216A" w:rsidRDefault="00AC5A0B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t xml:space="preserve">When transmitting your orders, </w:t>
      </w: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applies its best selection policy and </w:t>
      </w:r>
      <w:r w:rsidR="0051637C" w:rsidRPr="0051637C">
        <w:rPr>
          <w:lang w:val="en-GB"/>
        </w:rPr>
        <w:t>takes all adequate measures to select</w:t>
      </w:r>
      <w:r w:rsidRPr="005C216A">
        <w:rPr>
          <w:lang w:val="en-GB"/>
        </w:rPr>
        <w:t xml:space="preserve"> the executing party expected to achieve the best possible result for you.</w:t>
      </w:r>
    </w:p>
    <w:p w14:paraId="5FDE39FD" w14:textId="37F454F9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t xml:space="preserve">You receive clear, accurate, complete and timely information, </w:t>
      </w:r>
      <w:r w:rsidR="0051637C" w:rsidRPr="0051637C">
        <w:rPr>
          <w:lang w:val="en-GB"/>
        </w:rPr>
        <w:t xml:space="preserve">in </w:t>
      </w:r>
      <w:r w:rsidR="00A90B2A">
        <w:rPr>
          <w:lang w:val="en-GB"/>
        </w:rPr>
        <w:t>accurate</w:t>
      </w:r>
      <w:r w:rsidR="0051637C" w:rsidRPr="0051637C">
        <w:rPr>
          <w:lang w:val="en-GB"/>
        </w:rPr>
        <w:t xml:space="preserve"> and comprehensible language</w:t>
      </w:r>
      <w:r w:rsidR="0051637C">
        <w:rPr>
          <w:lang w:val="en-GB"/>
        </w:rPr>
        <w:t xml:space="preserve"> </w:t>
      </w:r>
      <w:r w:rsidRPr="005C216A">
        <w:rPr>
          <w:lang w:val="en-GB"/>
        </w:rPr>
        <w:t>and in a form that is not misleading.</w:t>
      </w:r>
    </w:p>
    <w:p w14:paraId="6B63766D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t>You are kept informed periodically of the services performed on your behalf and of the status and evolution of your portfolio and your transactions.</w:t>
      </w:r>
    </w:p>
    <w:p w14:paraId="61C3136E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discloses to you in advance and in a transparent manner all fees and costs charged to you.</w:t>
      </w:r>
    </w:p>
    <w:p w14:paraId="13CD4917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processes and stores your personal data. How we handle it and the rights you have to protect your privacy are set out in our privacy policy: </w:t>
      </w:r>
      <w:hyperlink r:id="rId7" w:history="1">
        <w:r w:rsidR="00A40CA0" w:rsidRPr="005C216A">
          <w:rPr>
            <w:color w:val="0563C1"/>
            <w:u w:val="single"/>
            <w:lang w:val="en-GB"/>
          </w:rPr>
          <w:t>https://www.wealtheon.eu/privacy</w:t>
        </w:r>
      </w:hyperlink>
      <w:r w:rsidRPr="005C216A">
        <w:rPr>
          <w:lang w:val="en-GB"/>
        </w:rPr>
        <w:t>.</w:t>
      </w:r>
    </w:p>
    <w:p w14:paraId="6AEB78E6" w14:textId="11214EFC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lastRenderedPageBreak/>
        <w:t xml:space="preserve">If </w:t>
      </w: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fails to meet its obligations, </w:t>
      </w:r>
      <w:r w:rsidR="00141AC7" w:rsidRPr="00141AC7">
        <w:rPr>
          <w:lang w:val="en-GB"/>
        </w:rPr>
        <w:t xml:space="preserve">you may file a complaint both with </w:t>
      </w:r>
      <w:proofErr w:type="spellStart"/>
      <w:r w:rsidR="00141AC7" w:rsidRPr="00141AC7">
        <w:rPr>
          <w:lang w:val="en-GB"/>
        </w:rPr>
        <w:t>Wealtheon</w:t>
      </w:r>
      <w:proofErr w:type="spellEnd"/>
      <w:r w:rsidR="00141AC7" w:rsidRPr="00141AC7">
        <w:rPr>
          <w:lang w:val="en-GB"/>
        </w:rPr>
        <w:t xml:space="preserve"> itself and with the competent supervisory authority</w:t>
      </w:r>
      <w:r w:rsidRPr="005C216A">
        <w:rPr>
          <w:lang w:val="en-GB"/>
        </w:rPr>
        <w:t>.</w:t>
      </w:r>
    </w:p>
    <w:p w14:paraId="6689F4DB" w14:textId="77777777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 w:rsidRPr="005C216A">
        <w:rPr>
          <w:lang w:val="en-GB"/>
        </w:rPr>
        <w:t xml:space="preserve">You may unilaterally terminate your agreement with </w:t>
      </w: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at any time, subject to the contractual terms. </w:t>
      </w: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has the same right, under the same conditions.</w:t>
      </w:r>
    </w:p>
    <w:p w14:paraId="55836593" w14:textId="38115231" w:rsidR="00A40CA0" w:rsidRPr="005C216A" w:rsidRDefault="00E32163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may decide to discontinue the arrangement</w:t>
      </w:r>
      <w:r w:rsidR="00985EDF">
        <w:rPr>
          <w:lang w:val="en-GB"/>
        </w:rPr>
        <w:t xml:space="preserve"> made</w:t>
      </w:r>
      <w:r w:rsidRPr="005C216A">
        <w:rPr>
          <w:lang w:val="en-GB"/>
        </w:rPr>
        <w:t xml:space="preserve"> for marketing its i</w:t>
      </w:r>
      <w:r w:rsidR="00141AC7">
        <w:rPr>
          <w:lang w:val="en-GB"/>
        </w:rPr>
        <w:t>n-</w:t>
      </w:r>
      <w:r w:rsidRPr="005C216A">
        <w:rPr>
          <w:lang w:val="en-GB"/>
        </w:rPr>
        <w:t>house funds; you will be notified of this.</w:t>
      </w:r>
    </w:p>
    <w:p w14:paraId="2CDCA773" w14:textId="77031261" w:rsidR="00A40CA0" w:rsidRPr="005C216A" w:rsidRDefault="00B8281A">
      <w:pPr>
        <w:pStyle w:val="Lijstalinea"/>
        <w:numPr>
          <w:ilvl w:val="0"/>
          <w:numId w:val="2"/>
        </w:numPr>
        <w:spacing w:after="160" w:line="288" w:lineRule="auto"/>
        <w:jc w:val="both"/>
        <w:rPr>
          <w:lang w:val="en-GB"/>
        </w:rPr>
      </w:pPr>
      <w:r>
        <w:rPr>
          <w:lang w:val="en-GB"/>
        </w:rPr>
        <w:t>T</w:t>
      </w:r>
      <w:r w:rsidR="00637FC4" w:rsidRPr="00637FC4">
        <w:rPr>
          <w:lang w:val="en-GB"/>
        </w:rPr>
        <w:t>o access collective redress mechanisms in the event of a dispute</w:t>
      </w:r>
      <w:r w:rsidR="004F5D5B" w:rsidRPr="005C216A">
        <w:rPr>
          <w:lang w:val="en-GB"/>
        </w:rPr>
        <w:t>: in Belgium via the action for collective redress (Book XVII, Title 2 of the Code of Economic Law), and at EU level via the representative actions regime (Directive (EU) 2020/1828).</w:t>
      </w:r>
    </w:p>
    <w:p w14:paraId="2810A199" w14:textId="0BB33FE4" w:rsidR="00A40CA0" w:rsidRPr="005C216A" w:rsidRDefault="00E32163">
      <w:pPr>
        <w:pStyle w:val="Kop1"/>
        <w:rPr>
          <w:lang w:val="en-GB"/>
        </w:rPr>
      </w:pPr>
      <w:proofErr w:type="spellStart"/>
      <w:r w:rsidRPr="005C216A">
        <w:rPr>
          <w:lang w:val="en-GB"/>
        </w:rPr>
        <w:t>Wealtheon</w:t>
      </w:r>
      <w:proofErr w:type="spellEnd"/>
      <w:r w:rsidRPr="005C216A">
        <w:rPr>
          <w:lang w:val="en-GB"/>
        </w:rPr>
        <w:t xml:space="preserve"> NV</w:t>
      </w:r>
    </w:p>
    <w:p w14:paraId="2114349D" w14:textId="336CB291" w:rsidR="00A40CA0" w:rsidRPr="005C216A" w:rsidRDefault="00E32163">
      <w:pPr>
        <w:spacing w:after="200" w:line="288" w:lineRule="auto"/>
        <w:jc w:val="both"/>
      </w:pPr>
      <w:r w:rsidRPr="005C216A">
        <w:t xml:space="preserve">This publication (2026) is issued by </w:t>
      </w:r>
      <w:proofErr w:type="spellStart"/>
      <w:r w:rsidRPr="005C216A">
        <w:t>Wealtheon</w:t>
      </w:r>
      <w:proofErr w:type="spellEnd"/>
      <w:r w:rsidRPr="005C216A">
        <w:t xml:space="preserve"> NV, with its registered office at </w:t>
      </w:r>
      <w:proofErr w:type="spellStart"/>
      <w:r w:rsidRPr="005C216A">
        <w:t>Waterloosesteenweg</w:t>
      </w:r>
      <w:proofErr w:type="spellEnd"/>
      <w:r w:rsidRPr="005C216A">
        <w:t xml:space="preserve"> 1135, 1180 Brussels – company/VAT </w:t>
      </w:r>
      <w:r w:rsidR="009A1713" w:rsidRPr="005C216A">
        <w:t xml:space="preserve">number </w:t>
      </w:r>
      <w:r w:rsidRPr="005C216A">
        <w:t>BE 0423.072.032.</w:t>
      </w:r>
    </w:p>
    <w:p w14:paraId="1F333032" w14:textId="77777777" w:rsidR="00A40CA0" w:rsidRPr="005C216A" w:rsidRDefault="00E32163">
      <w:pPr>
        <w:spacing w:after="200" w:line="288" w:lineRule="auto"/>
        <w:jc w:val="both"/>
      </w:pPr>
      <w:r w:rsidRPr="005C216A">
        <w:t>The content is intended for information purposes only.</w:t>
      </w:r>
    </w:p>
    <w:p w14:paraId="09CCBABF" w14:textId="78FF7FF1" w:rsidR="00A40CA0" w:rsidRPr="005C216A" w:rsidRDefault="00E32163">
      <w:pPr>
        <w:spacing w:after="200" w:line="288" w:lineRule="auto"/>
        <w:jc w:val="both"/>
      </w:pPr>
      <w:r w:rsidRPr="005C216A">
        <w:t xml:space="preserve">This document does not constitute investment advice, nor does it constitute an offer or an invitation to buy, hold or sell shares, bonds, investment funds or other </w:t>
      </w:r>
      <w:r w:rsidR="009A1713">
        <w:t xml:space="preserve">financial </w:t>
      </w:r>
      <w:r w:rsidRPr="005C216A">
        <w:t>instruments.</w:t>
      </w:r>
    </w:p>
    <w:p w14:paraId="0E24D6EE" w14:textId="5567E98D" w:rsidR="00A40CA0" w:rsidRPr="005C216A" w:rsidRDefault="00E32163">
      <w:pPr>
        <w:spacing w:after="200" w:line="288" w:lineRule="auto"/>
        <w:jc w:val="both"/>
      </w:pPr>
      <w:r w:rsidRPr="005C216A">
        <w:t xml:space="preserve">No part of this publication may be reproduced or distributed, in whole or in part, without the prior written consent of </w:t>
      </w:r>
      <w:proofErr w:type="spellStart"/>
      <w:r w:rsidRPr="005C216A">
        <w:t>Wealtheon</w:t>
      </w:r>
      <w:proofErr w:type="spellEnd"/>
      <w:r w:rsidRPr="005C216A">
        <w:t xml:space="preserve"> NV. </w:t>
      </w:r>
      <w:r w:rsidR="009A1713" w:rsidRPr="009A1713">
        <w:t>Modifications may only be made with its express consent</w:t>
      </w:r>
      <w:r w:rsidR="009A1713">
        <w:t>.</w:t>
      </w:r>
    </w:p>
    <w:p w14:paraId="36561C03" w14:textId="77777777" w:rsidR="00A40CA0" w:rsidRPr="005C216A" w:rsidRDefault="00E32163">
      <w:pPr>
        <w:spacing w:after="200" w:line="288" w:lineRule="auto"/>
        <w:jc w:val="both"/>
      </w:pPr>
      <w:r w:rsidRPr="005C216A">
        <w:t xml:space="preserve">This publication is not intended for distribution or use in any country or jurisdiction where this would be contrary to applicable laws or regulations, or where </w:t>
      </w:r>
      <w:proofErr w:type="spellStart"/>
      <w:r w:rsidRPr="005C216A">
        <w:t>Wealtheon</w:t>
      </w:r>
      <w:proofErr w:type="spellEnd"/>
      <w:r w:rsidRPr="005C216A">
        <w:t xml:space="preserve"> NV would thereby become subject to registration requirements.</w:t>
      </w:r>
    </w:p>
    <w:p w14:paraId="207D77BB" w14:textId="1F47B59B" w:rsidR="00A40CA0" w:rsidRDefault="00E32163">
      <w:pPr>
        <w:spacing w:after="200" w:line="288" w:lineRule="auto"/>
        <w:jc w:val="both"/>
      </w:pPr>
      <w:r w:rsidRPr="005C216A">
        <w:t xml:space="preserve">If you have a complaint, please contact the client service of </w:t>
      </w:r>
      <w:proofErr w:type="spellStart"/>
      <w:r w:rsidRPr="005C216A">
        <w:t>Wealtheon</w:t>
      </w:r>
      <w:proofErr w:type="spellEnd"/>
      <w:r w:rsidRPr="005C216A">
        <w:t xml:space="preserve"> NV (</w:t>
      </w:r>
      <w:proofErr w:type="spellStart"/>
      <w:r w:rsidRPr="005C216A">
        <w:t>Waterloosesteenweg</w:t>
      </w:r>
      <w:proofErr w:type="spellEnd"/>
      <w:r w:rsidRPr="005C216A">
        <w:t xml:space="preserve"> 1135, 1180 Brussels) or </w:t>
      </w:r>
      <w:r w:rsidR="00B8281A" w:rsidRPr="00B8281A">
        <w:t>by email at</w:t>
      </w:r>
      <w:r w:rsidRPr="005C216A">
        <w:t xml:space="preserve"> </w:t>
      </w:r>
      <w:hyperlink r:id="rId8" w:history="1">
        <w:r w:rsidR="00A40CA0" w:rsidRPr="005C216A">
          <w:rPr>
            <w:color w:val="0563C1"/>
            <w:u w:val="single"/>
          </w:rPr>
          <w:t>info@wealtheon.eu</w:t>
        </w:r>
      </w:hyperlink>
      <w:r w:rsidRPr="005C216A">
        <w:t xml:space="preserve">. If the dispute persists, you </w:t>
      </w:r>
      <w:r w:rsidR="00B64AE9">
        <w:t>may contact</w:t>
      </w:r>
      <w:r w:rsidRPr="005C216A">
        <w:t xml:space="preserve"> the Consumer Mediation Service (</w:t>
      </w:r>
      <w:hyperlink r:id="rId9" w:history="1">
        <w:r w:rsidR="00A40CA0" w:rsidRPr="005C216A">
          <w:rPr>
            <w:color w:val="0563C1"/>
            <w:u w:val="single"/>
          </w:rPr>
          <w:t>www.consumentenombudsdienst.be</w:t>
        </w:r>
      </w:hyperlink>
      <w:r w:rsidRPr="005C216A">
        <w:t xml:space="preserve">) or to </w:t>
      </w:r>
      <w:proofErr w:type="spellStart"/>
      <w:r w:rsidRPr="005C216A">
        <w:t>Ombudsfin</w:t>
      </w:r>
      <w:proofErr w:type="spellEnd"/>
      <w:r w:rsidRPr="005C216A">
        <w:t>, which specialises in financial disputes (North Gate II, Koning Albert II-</w:t>
      </w:r>
      <w:proofErr w:type="spellStart"/>
      <w:r w:rsidRPr="005C216A">
        <w:t>laan</w:t>
      </w:r>
      <w:proofErr w:type="spellEnd"/>
      <w:r w:rsidRPr="005C216A">
        <w:t xml:space="preserve"> 8, 1000 Brussels – </w:t>
      </w:r>
      <w:hyperlink r:id="rId10" w:history="1">
        <w:r w:rsidR="00A40CA0" w:rsidRPr="005C216A">
          <w:rPr>
            <w:color w:val="0563C1"/>
            <w:u w:val="single"/>
          </w:rPr>
          <w:t>www.ombudsfin.be</w:t>
        </w:r>
      </w:hyperlink>
      <w:r w:rsidRPr="005C216A">
        <w:t>).</w:t>
      </w:r>
    </w:p>
    <w:p w14:paraId="09423F78" w14:textId="77777777" w:rsidR="00B708D1" w:rsidRPr="005C216A" w:rsidRDefault="00B708D1">
      <w:pPr>
        <w:spacing w:after="200" w:line="288" w:lineRule="auto"/>
        <w:jc w:val="both"/>
      </w:pPr>
    </w:p>
    <w:p w14:paraId="08671635" w14:textId="12EB5255" w:rsidR="00A40CA0" w:rsidRPr="005C216A" w:rsidRDefault="00E32163">
      <w:pPr>
        <w:spacing w:before="240" w:after="40"/>
      </w:pPr>
      <w:r w:rsidRPr="005C216A">
        <w:rPr>
          <w:b/>
          <w:bCs/>
        </w:rPr>
        <w:t>Contact &amp; website</w:t>
      </w:r>
    </w:p>
    <w:p w14:paraId="1D1E551A" w14:textId="199C0266" w:rsidR="00A40CA0" w:rsidRDefault="00A40CA0" w:rsidP="00B4038C">
      <w:pPr>
        <w:spacing w:after="160"/>
      </w:pPr>
      <w:hyperlink r:id="rId11" w:history="1">
        <w:r w:rsidRPr="005C216A">
          <w:rPr>
            <w:color w:val="0563C1"/>
            <w:u w:val="single"/>
          </w:rPr>
          <w:t>info@wealtheon.eu</w:t>
        </w:r>
      </w:hyperlink>
      <w:r w:rsidR="00E32163" w:rsidRPr="005C216A">
        <w:t xml:space="preserve"> - </w:t>
      </w:r>
      <w:hyperlink r:id="rId12" w:history="1">
        <w:r w:rsidRPr="005C216A">
          <w:rPr>
            <w:color w:val="0563C1"/>
            <w:u w:val="single"/>
          </w:rPr>
          <w:t>www.wealtheon.eu</w:t>
        </w:r>
      </w:hyperlink>
    </w:p>
    <w:sectPr w:rsidR="00A40CA0" w:rsidSect="00747D8F">
      <w:headerReference w:type="default" r:id="rId13"/>
      <w:footerReference w:type="default" r:id="rId14"/>
      <w:pgSz w:w="11906" w:h="16838"/>
      <w:pgMar w:top="1985" w:right="1555" w:bottom="1800" w:left="1555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365B" w14:textId="77777777" w:rsidR="00DA40A0" w:rsidRPr="005C216A" w:rsidRDefault="00DA40A0">
      <w:r w:rsidRPr="005C216A">
        <w:separator/>
      </w:r>
    </w:p>
  </w:endnote>
  <w:endnote w:type="continuationSeparator" w:id="0">
    <w:p w14:paraId="64428FD9" w14:textId="77777777" w:rsidR="00DA40A0" w:rsidRPr="005C216A" w:rsidRDefault="00DA40A0">
      <w:r w:rsidRPr="005C21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C336" w14:textId="77777777" w:rsidR="00A40CA0" w:rsidRPr="005C216A" w:rsidRDefault="00E32163">
    <w:pPr>
      <w:pBdr>
        <w:top w:val="single" w:sz="4" w:space="6" w:color="BFBFBF"/>
      </w:pBdr>
      <w:tabs>
        <w:tab w:val="right" w:pos="8796"/>
      </w:tabs>
      <w:spacing w:before="60"/>
    </w:pPr>
    <w:r w:rsidRPr="005C216A">
      <w:rPr>
        <w:sz w:val="16"/>
        <w:szCs w:val="16"/>
      </w:rPr>
      <w:t>Your rights as a client – V08062026</w:t>
    </w:r>
    <w:r w:rsidRPr="005C216A">
      <w:rPr>
        <w:sz w:val="16"/>
        <w:szCs w:val="16"/>
      </w:rPr>
      <w:tab/>
    </w:r>
    <w:r w:rsidRPr="005C216A">
      <w:rPr>
        <w:sz w:val="16"/>
        <w:szCs w:val="16"/>
      </w:rPr>
      <w:fldChar w:fldCharType="begin"/>
    </w:r>
    <w:r w:rsidRPr="005C216A">
      <w:rPr>
        <w:sz w:val="16"/>
        <w:szCs w:val="16"/>
      </w:rPr>
      <w:instrText>PAGE</w:instrText>
    </w:r>
    <w:r w:rsidRPr="005C216A">
      <w:rPr>
        <w:sz w:val="16"/>
        <w:szCs w:val="16"/>
      </w:rPr>
      <w:fldChar w:fldCharType="separate"/>
    </w:r>
    <w:r w:rsidR="00B90A7A" w:rsidRPr="005C216A">
      <w:rPr>
        <w:sz w:val="16"/>
        <w:szCs w:val="16"/>
      </w:rPr>
      <w:t>1</w:t>
    </w:r>
    <w:r w:rsidRPr="005C216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BA7D" w14:textId="77777777" w:rsidR="00DA40A0" w:rsidRPr="005C216A" w:rsidRDefault="00DA40A0">
      <w:r w:rsidRPr="005C216A">
        <w:separator/>
      </w:r>
    </w:p>
  </w:footnote>
  <w:footnote w:type="continuationSeparator" w:id="0">
    <w:p w14:paraId="3F2CD0E9" w14:textId="77777777" w:rsidR="00DA40A0" w:rsidRPr="005C216A" w:rsidRDefault="00DA40A0">
      <w:r w:rsidRPr="005C21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097B" w14:textId="77777777" w:rsidR="00A40CA0" w:rsidRPr="005C216A" w:rsidRDefault="00E32163">
    <w:pPr>
      <w:jc w:val="right"/>
    </w:pPr>
    <w:r w:rsidRPr="005C216A">
      <w:rPr>
        <w:noProof/>
      </w:rPr>
      <w:drawing>
        <wp:inline distT="0" distB="0" distL="0" distR="0" wp14:anchorId="1BEEB56C" wp14:editId="2FB2BD56">
          <wp:extent cx="1504950" cy="514350"/>
          <wp:effectExtent l="0" t="0" r="0" b="0"/>
          <wp:docPr id="1517409346" name="Afbeelding 1517409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81EB9"/>
    <w:multiLevelType w:val="hybridMultilevel"/>
    <w:tmpl w:val="AB8EE4E2"/>
    <w:lvl w:ilvl="0" w:tplc="4A38B4D8">
      <w:start w:val="1"/>
      <w:numFmt w:val="bullet"/>
      <w:lvlText w:val="●"/>
      <w:lvlJc w:val="left"/>
      <w:pPr>
        <w:ind w:left="720" w:hanging="360"/>
      </w:pPr>
    </w:lvl>
    <w:lvl w:ilvl="1" w:tplc="3C38BD32">
      <w:start w:val="1"/>
      <w:numFmt w:val="bullet"/>
      <w:lvlText w:val="○"/>
      <w:lvlJc w:val="left"/>
      <w:pPr>
        <w:ind w:left="1440" w:hanging="360"/>
      </w:pPr>
    </w:lvl>
    <w:lvl w:ilvl="2" w:tplc="A1C22EAE">
      <w:start w:val="1"/>
      <w:numFmt w:val="bullet"/>
      <w:lvlText w:val="■"/>
      <w:lvlJc w:val="left"/>
      <w:pPr>
        <w:ind w:left="2160" w:hanging="360"/>
      </w:pPr>
    </w:lvl>
    <w:lvl w:ilvl="3" w:tplc="3E6AE1FC">
      <w:start w:val="1"/>
      <w:numFmt w:val="bullet"/>
      <w:lvlText w:val="●"/>
      <w:lvlJc w:val="left"/>
      <w:pPr>
        <w:ind w:left="2880" w:hanging="360"/>
      </w:pPr>
    </w:lvl>
    <w:lvl w:ilvl="4" w:tplc="1ED40A36">
      <w:start w:val="1"/>
      <w:numFmt w:val="bullet"/>
      <w:lvlText w:val="○"/>
      <w:lvlJc w:val="left"/>
      <w:pPr>
        <w:ind w:left="3600" w:hanging="360"/>
      </w:pPr>
    </w:lvl>
    <w:lvl w:ilvl="5" w:tplc="0FA0AF7A">
      <w:start w:val="1"/>
      <w:numFmt w:val="bullet"/>
      <w:lvlText w:val="■"/>
      <w:lvlJc w:val="left"/>
      <w:pPr>
        <w:ind w:left="4320" w:hanging="360"/>
      </w:pPr>
    </w:lvl>
    <w:lvl w:ilvl="6" w:tplc="5DEE0BD8">
      <w:start w:val="1"/>
      <w:numFmt w:val="bullet"/>
      <w:lvlText w:val="●"/>
      <w:lvlJc w:val="left"/>
      <w:pPr>
        <w:ind w:left="5040" w:hanging="360"/>
      </w:pPr>
    </w:lvl>
    <w:lvl w:ilvl="7" w:tplc="9B9C2BA6">
      <w:start w:val="1"/>
      <w:numFmt w:val="bullet"/>
      <w:lvlText w:val="●"/>
      <w:lvlJc w:val="left"/>
      <w:pPr>
        <w:ind w:left="5760" w:hanging="360"/>
      </w:pPr>
    </w:lvl>
    <w:lvl w:ilvl="8" w:tplc="0B1464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F6D5151"/>
    <w:multiLevelType w:val="hybridMultilevel"/>
    <w:tmpl w:val="B7421452"/>
    <w:lvl w:ilvl="0" w:tplc="E30CD972">
      <w:start w:val="1"/>
      <w:numFmt w:val="decimal"/>
      <w:lvlText w:val="%1."/>
      <w:lvlJc w:val="left"/>
      <w:pPr>
        <w:ind w:left="425" w:hanging="425"/>
      </w:pPr>
    </w:lvl>
    <w:lvl w:ilvl="1" w:tplc="68306CB0">
      <w:numFmt w:val="decimal"/>
      <w:lvlText w:val=""/>
      <w:lvlJc w:val="left"/>
    </w:lvl>
    <w:lvl w:ilvl="2" w:tplc="F50EC02C">
      <w:numFmt w:val="decimal"/>
      <w:lvlText w:val=""/>
      <w:lvlJc w:val="left"/>
    </w:lvl>
    <w:lvl w:ilvl="3" w:tplc="CC0A48D6">
      <w:numFmt w:val="decimal"/>
      <w:lvlText w:val=""/>
      <w:lvlJc w:val="left"/>
    </w:lvl>
    <w:lvl w:ilvl="4" w:tplc="BFAEF0D6">
      <w:numFmt w:val="decimal"/>
      <w:lvlText w:val=""/>
      <w:lvlJc w:val="left"/>
    </w:lvl>
    <w:lvl w:ilvl="5" w:tplc="CE2884B4">
      <w:numFmt w:val="decimal"/>
      <w:lvlText w:val=""/>
      <w:lvlJc w:val="left"/>
    </w:lvl>
    <w:lvl w:ilvl="6" w:tplc="6276B9FE">
      <w:numFmt w:val="decimal"/>
      <w:lvlText w:val=""/>
      <w:lvlJc w:val="left"/>
    </w:lvl>
    <w:lvl w:ilvl="7" w:tplc="F90288F8">
      <w:numFmt w:val="decimal"/>
      <w:lvlText w:val=""/>
      <w:lvlJc w:val="left"/>
    </w:lvl>
    <w:lvl w:ilvl="8" w:tplc="277C2A34">
      <w:numFmt w:val="decimal"/>
      <w:lvlText w:val=""/>
      <w:lvlJc w:val="left"/>
    </w:lvl>
  </w:abstractNum>
  <w:num w:numId="1" w16cid:durableId="822545794">
    <w:abstractNumId w:val="0"/>
    <w:lvlOverride w:ilvl="0">
      <w:startOverride w:val="1"/>
    </w:lvlOverride>
  </w:num>
  <w:num w:numId="2" w16cid:durableId="5771336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A0"/>
    <w:rsid w:val="000C7DA3"/>
    <w:rsid w:val="00123B35"/>
    <w:rsid w:val="00141AC7"/>
    <w:rsid w:val="004D77FA"/>
    <w:rsid w:val="004F5D5B"/>
    <w:rsid w:val="0051637C"/>
    <w:rsid w:val="00571B54"/>
    <w:rsid w:val="005C216A"/>
    <w:rsid w:val="00637FC4"/>
    <w:rsid w:val="006775D5"/>
    <w:rsid w:val="00747D8F"/>
    <w:rsid w:val="0082304C"/>
    <w:rsid w:val="00887528"/>
    <w:rsid w:val="00981C88"/>
    <w:rsid w:val="00985EDF"/>
    <w:rsid w:val="009A1713"/>
    <w:rsid w:val="009E5005"/>
    <w:rsid w:val="00A40CA0"/>
    <w:rsid w:val="00A90B2A"/>
    <w:rsid w:val="00AC5A0B"/>
    <w:rsid w:val="00B4038C"/>
    <w:rsid w:val="00B64AE9"/>
    <w:rsid w:val="00B708D1"/>
    <w:rsid w:val="00B8281A"/>
    <w:rsid w:val="00B90A7A"/>
    <w:rsid w:val="00BB77A2"/>
    <w:rsid w:val="00D549C7"/>
    <w:rsid w:val="00D9365F"/>
    <w:rsid w:val="00DA40A0"/>
    <w:rsid w:val="00DD43B4"/>
    <w:rsid w:val="00E32163"/>
    <w:rsid w:val="00F9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EB61"/>
  <w15:docId w15:val="{4AD6A1D2-A9FB-4E8A-9345-4671AF4D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595959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uiPriority w:val="9"/>
    <w:qFormat/>
    <w:pPr>
      <w:spacing w:before="360" w:after="240"/>
      <w:outlineLvl w:val="0"/>
    </w:pPr>
    <w:rPr>
      <w:sz w:val="36"/>
      <w:szCs w:val="36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875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7528"/>
  </w:style>
  <w:style w:type="paragraph" w:styleId="Voettekst">
    <w:name w:val="footer"/>
    <w:basedOn w:val="Standaard"/>
    <w:link w:val="VoettekstChar"/>
    <w:uiPriority w:val="99"/>
    <w:unhideWhenUsed/>
    <w:rsid w:val="008875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altheon.e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altheon.eu/privacy" TargetMode="External"/><Relationship Id="rId12" Type="http://schemas.openxmlformats.org/officeDocument/2006/relationships/hyperlink" Target="https://www.wealtheon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wealtheon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mbudsfin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mentenombudsdienst.b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 Vermeersch</cp:lastModifiedBy>
  <cp:revision>13</cp:revision>
  <dcterms:created xsi:type="dcterms:W3CDTF">2026-06-09T17:59:00Z</dcterms:created>
  <dcterms:modified xsi:type="dcterms:W3CDTF">2026-06-09T18:09:00Z</dcterms:modified>
</cp:coreProperties>
</file>