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F33" w14:textId="77777777" w:rsidR="00A40CA0" w:rsidRPr="00ED0E75" w:rsidRDefault="00D97BBA" w:rsidP="00747D8F">
      <w:pPr>
        <w:spacing w:before="720" w:after="480"/>
      </w:pPr>
      <w:r w:rsidRPr="00ED0E75">
        <w:rPr>
          <w:sz w:val="40"/>
          <w:szCs w:val="40"/>
        </w:rPr>
        <w:t>VOS DROITS EN TANT QUE CLIENT</w:t>
      </w:r>
    </w:p>
    <w:p w14:paraId="5F4F6332" w14:textId="0C182197" w:rsidR="00A40CA0" w:rsidRPr="00ED0E75" w:rsidRDefault="004D77FA">
      <w:pPr>
        <w:spacing w:after="200" w:line="288" w:lineRule="auto"/>
        <w:jc w:val="both"/>
      </w:pPr>
      <w:r w:rsidRPr="00ED0E75">
        <w:t>Le présent document constitue le résumé des droits de l’investisseur que Wealtheon SA (ci-après « Wealtheon ») met à disposition conformément à l’article 4, paragraphe 3, du Règlement (UE) 2019/1156 concernant la distribution transfrontalière des fonds d’investissement. Il vous donne un aperçu de vos principaux droits en tant que client et investisseur. Ces droits trouvent leur fondement dans la réglementation financière applicable — notamment les règles de conduite MiFID II (Directive 2014/65/UE et Règlement délégué (UE) 2017/565) et la réglementation relative aux organismes de placement collectif — telle que transposée en droit belge.</w:t>
      </w:r>
    </w:p>
    <w:p w14:paraId="039D5141" w14:textId="77777777" w:rsidR="00A40CA0" w:rsidRPr="00ED0E75" w:rsidRDefault="00D97BBA">
      <w:pPr>
        <w:pStyle w:val="Kop1"/>
        <w:rPr>
          <w:lang w:val="fr-BE"/>
        </w:rPr>
      </w:pPr>
      <w:r w:rsidRPr="00ED0E75">
        <w:rPr>
          <w:lang w:val="fr-BE"/>
        </w:rPr>
        <w:t>Vos droits en bref</w:t>
      </w:r>
    </w:p>
    <w:p w14:paraId="4542E728" w14:textId="77777777" w:rsidR="00A40CA0" w:rsidRPr="00ED0E75" w:rsidRDefault="00D97BBA">
      <w:pPr>
        <w:pStyle w:val="Lijstalinea"/>
        <w:numPr>
          <w:ilvl w:val="0"/>
          <w:numId w:val="2"/>
        </w:numPr>
        <w:spacing w:after="160" w:line="288" w:lineRule="auto"/>
        <w:jc w:val="both"/>
        <w:rPr>
          <w:lang w:val="fr-BE"/>
        </w:rPr>
      </w:pPr>
      <w:r w:rsidRPr="00ED0E75">
        <w:rPr>
          <w:lang w:val="fr-BE"/>
        </w:rPr>
        <w:t>Wealtheon vous traite de manière loyale, honnête et professionnelle, en gardant toujours votre intérêt à l’esprit et dans le respect de la législation applicable.</w:t>
      </w:r>
    </w:p>
    <w:p w14:paraId="32AABA61" w14:textId="77777777" w:rsidR="00A40CA0" w:rsidRPr="00ED0E75" w:rsidRDefault="00D97BBA">
      <w:pPr>
        <w:pStyle w:val="Lijstalinea"/>
        <w:numPr>
          <w:ilvl w:val="0"/>
          <w:numId w:val="2"/>
        </w:numPr>
        <w:spacing w:after="160" w:line="288" w:lineRule="auto"/>
        <w:jc w:val="both"/>
        <w:rPr>
          <w:lang w:val="fr-BE"/>
        </w:rPr>
      </w:pPr>
      <w:r w:rsidRPr="00ED0E75">
        <w:rPr>
          <w:lang w:val="fr-BE"/>
        </w:rPr>
        <w:t>Notre prestation de services est objective et repose sur une analyse approfondie, une appréciation rigoureuse et un engagement consciencieux.</w:t>
      </w:r>
    </w:p>
    <w:p w14:paraId="5ABCF4B4" w14:textId="2ED617E7" w:rsidR="00A40CA0" w:rsidRPr="00ED0E75" w:rsidRDefault="00D97BBA">
      <w:pPr>
        <w:pStyle w:val="Lijstalinea"/>
        <w:numPr>
          <w:ilvl w:val="0"/>
          <w:numId w:val="2"/>
        </w:numPr>
        <w:spacing w:after="160" w:line="288" w:lineRule="auto"/>
        <w:jc w:val="both"/>
        <w:rPr>
          <w:lang w:val="fr-BE"/>
        </w:rPr>
      </w:pPr>
      <w:r w:rsidRPr="00ED0E75">
        <w:rPr>
          <w:lang w:val="fr-BE"/>
        </w:rPr>
        <w:t xml:space="preserve">Les clients </w:t>
      </w:r>
      <w:r w:rsidR="004B79EC">
        <w:rPr>
          <w:lang w:val="fr-BE"/>
        </w:rPr>
        <w:t>qui se trouvent</w:t>
      </w:r>
      <w:r w:rsidRPr="00ED0E75">
        <w:rPr>
          <w:lang w:val="fr-BE"/>
        </w:rPr>
        <w:t xml:space="preserve"> dans des circonstances comparables peuvent compter sur un traitement comparable.</w:t>
      </w:r>
    </w:p>
    <w:p w14:paraId="1E047296" w14:textId="77777777" w:rsidR="00A40CA0" w:rsidRPr="00ED0E75" w:rsidRDefault="00D97BBA">
      <w:pPr>
        <w:pStyle w:val="Lijstalinea"/>
        <w:numPr>
          <w:ilvl w:val="0"/>
          <w:numId w:val="2"/>
        </w:numPr>
        <w:spacing w:after="160" w:line="288" w:lineRule="auto"/>
        <w:jc w:val="both"/>
        <w:rPr>
          <w:lang w:val="fr-BE"/>
        </w:rPr>
      </w:pPr>
      <w:r w:rsidRPr="00ED0E75">
        <w:rPr>
          <w:lang w:val="fr-BE"/>
        </w:rPr>
        <w:t>Vos intérêts financiers priment sur ceux de Wealtheon et de ses collaborateurs.</w:t>
      </w:r>
    </w:p>
    <w:p w14:paraId="2BACAC20" w14:textId="77777777" w:rsidR="00A40CA0" w:rsidRPr="00ED0E75" w:rsidRDefault="00D97BBA">
      <w:pPr>
        <w:pStyle w:val="Lijstalinea"/>
        <w:numPr>
          <w:ilvl w:val="0"/>
          <w:numId w:val="2"/>
        </w:numPr>
        <w:spacing w:after="160" w:line="288" w:lineRule="auto"/>
        <w:jc w:val="both"/>
        <w:rPr>
          <w:lang w:val="fr-BE"/>
        </w:rPr>
      </w:pPr>
      <w:r w:rsidRPr="00ED0E75">
        <w:rPr>
          <w:lang w:val="fr-BE"/>
        </w:rPr>
        <w:t>Vous êtes informé des conflits d’intérêts potentiels et réels, ainsi que des mesures par lesquelles Wealtheon les maîtrise ou les limite.</w:t>
      </w:r>
    </w:p>
    <w:p w14:paraId="1A5413FB" w14:textId="77777777" w:rsidR="00A40CA0" w:rsidRPr="00ED0E75" w:rsidRDefault="00D97BBA">
      <w:pPr>
        <w:pStyle w:val="Lijstalinea"/>
        <w:numPr>
          <w:ilvl w:val="0"/>
          <w:numId w:val="2"/>
        </w:numPr>
        <w:spacing w:after="160" w:line="288" w:lineRule="auto"/>
        <w:jc w:val="both"/>
        <w:rPr>
          <w:lang w:val="fr-BE"/>
        </w:rPr>
      </w:pPr>
      <w:r w:rsidRPr="00ED0E75">
        <w:rPr>
          <w:lang w:val="fr-BE"/>
        </w:rPr>
        <w:t>Les services que vous recevez sont adéquats et appropriés et tiennent compte de vos connaissances, de votre expérience, de votre situation financière et de vos objectifs d’investissement.</w:t>
      </w:r>
    </w:p>
    <w:p w14:paraId="268F3B2F" w14:textId="5273882F" w:rsidR="00A40CA0" w:rsidRPr="00ED0E75" w:rsidRDefault="00AC5A0B">
      <w:pPr>
        <w:pStyle w:val="Lijstalinea"/>
        <w:numPr>
          <w:ilvl w:val="0"/>
          <w:numId w:val="2"/>
        </w:numPr>
        <w:spacing w:after="160" w:line="288" w:lineRule="auto"/>
        <w:jc w:val="both"/>
        <w:rPr>
          <w:lang w:val="fr-BE"/>
        </w:rPr>
      </w:pPr>
      <w:r w:rsidRPr="00ED0E75">
        <w:rPr>
          <w:lang w:val="fr-BE"/>
        </w:rPr>
        <w:t xml:space="preserve">Lors de la transmission de vos ordres, Wealtheon applique sa politique de meilleure sélection (best selection) et prend toutes les mesures suffisantes pour sélectionner </w:t>
      </w:r>
      <w:r w:rsidR="00267DAE" w:rsidRPr="00267DAE">
        <w:rPr>
          <w:lang w:val="fr-BE"/>
        </w:rPr>
        <w:t>l’entité chargée de l’exécution susceptible d’obtenir</w:t>
      </w:r>
      <w:r w:rsidRPr="00ED0E75">
        <w:rPr>
          <w:lang w:val="fr-BE"/>
        </w:rPr>
        <w:t xml:space="preserve"> pour vous le meilleur résultat possible.</w:t>
      </w:r>
    </w:p>
    <w:p w14:paraId="5FDE39FD" w14:textId="77777777" w:rsidR="00A40CA0" w:rsidRPr="00ED0E75" w:rsidRDefault="00D97BBA">
      <w:pPr>
        <w:pStyle w:val="Lijstalinea"/>
        <w:numPr>
          <w:ilvl w:val="0"/>
          <w:numId w:val="2"/>
        </w:numPr>
        <w:spacing w:after="160" w:line="288" w:lineRule="auto"/>
        <w:jc w:val="both"/>
        <w:rPr>
          <w:lang w:val="fr-BE"/>
        </w:rPr>
      </w:pPr>
      <w:r w:rsidRPr="00ED0E75">
        <w:rPr>
          <w:lang w:val="fr-BE"/>
        </w:rPr>
        <w:t>Vous recevez une information claire, exacte, complète et fournie en temps utile, dans un langage correct et compréhensible et sous une forme non trompeuse.</w:t>
      </w:r>
    </w:p>
    <w:p w14:paraId="6B63766D" w14:textId="2FC3CC02" w:rsidR="00A40CA0" w:rsidRPr="00ED0E75" w:rsidRDefault="004F651A">
      <w:pPr>
        <w:pStyle w:val="Lijstalinea"/>
        <w:numPr>
          <w:ilvl w:val="0"/>
          <w:numId w:val="2"/>
        </w:numPr>
        <w:spacing w:after="160" w:line="288" w:lineRule="auto"/>
        <w:jc w:val="both"/>
        <w:rPr>
          <w:lang w:val="fr-BE"/>
        </w:rPr>
      </w:pPr>
      <w:r w:rsidRPr="004F651A">
        <w:rPr>
          <w:lang w:val="fr-BE"/>
        </w:rPr>
        <w:t>Vous êtes tenu informé périodiquement</w:t>
      </w:r>
      <w:r w:rsidR="00D97BBA" w:rsidRPr="00ED0E75">
        <w:rPr>
          <w:lang w:val="fr-BE"/>
        </w:rPr>
        <w:t xml:space="preserve"> des services fournis pour votre compte ainsi que de l’état et de l’évolution de votre portefeuille et de vos transactions.</w:t>
      </w:r>
    </w:p>
    <w:p w14:paraId="61C3136E" w14:textId="488461CA" w:rsidR="00A40CA0" w:rsidRPr="00ED0E75" w:rsidRDefault="00D97BBA">
      <w:pPr>
        <w:pStyle w:val="Lijstalinea"/>
        <w:numPr>
          <w:ilvl w:val="0"/>
          <w:numId w:val="2"/>
        </w:numPr>
        <w:spacing w:after="160" w:line="288" w:lineRule="auto"/>
        <w:jc w:val="both"/>
        <w:rPr>
          <w:lang w:val="fr-BE"/>
        </w:rPr>
      </w:pPr>
      <w:r w:rsidRPr="00ED0E75">
        <w:rPr>
          <w:lang w:val="fr-BE"/>
        </w:rPr>
        <w:t xml:space="preserve">Wealtheon vous communique au préalable et de manière transparente </w:t>
      </w:r>
      <w:r w:rsidR="004F651A" w:rsidRPr="004F651A">
        <w:rPr>
          <w:lang w:val="fr-BE"/>
        </w:rPr>
        <w:t>l’ensemble des commissions et frais qui vous sont facturés</w:t>
      </w:r>
      <w:r w:rsidRPr="00ED0E75">
        <w:rPr>
          <w:lang w:val="fr-BE"/>
        </w:rPr>
        <w:t>.</w:t>
      </w:r>
    </w:p>
    <w:p w14:paraId="13CD4917" w14:textId="77777777" w:rsidR="00A40CA0" w:rsidRPr="00ED0E75" w:rsidRDefault="00D97BBA">
      <w:pPr>
        <w:pStyle w:val="Lijstalinea"/>
        <w:numPr>
          <w:ilvl w:val="0"/>
          <w:numId w:val="2"/>
        </w:numPr>
        <w:spacing w:after="160" w:line="288" w:lineRule="auto"/>
        <w:jc w:val="both"/>
        <w:rPr>
          <w:lang w:val="fr-BE"/>
        </w:rPr>
      </w:pPr>
      <w:r w:rsidRPr="00ED0E75">
        <w:rPr>
          <w:lang w:val="fr-BE"/>
        </w:rPr>
        <w:lastRenderedPageBreak/>
        <w:t xml:space="preserve">Wealtheon traite et conserve vos données à caractère personnel. La manière dont nous les traitons et les droits dont vous disposez pour protéger votre vie privée sont décrits dans notre politique de confidentialité : </w:t>
      </w:r>
      <w:hyperlink r:id="rId7" w:history="1">
        <w:r w:rsidR="00A40CA0" w:rsidRPr="00ED0E75">
          <w:rPr>
            <w:color w:val="0563C1"/>
            <w:u w:val="single"/>
            <w:lang w:val="fr-BE"/>
          </w:rPr>
          <w:t>https://www.wealtheon.eu/privacy</w:t>
        </w:r>
      </w:hyperlink>
      <w:r w:rsidRPr="00ED0E75">
        <w:rPr>
          <w:lang w:val="fr-BE"/>
        </w:rPr>
        <w:t>.</w:t>
      </w:r>
    </w:p>
    <w:p w14:paraId="6AEB78E6" w14:textId="77777777" w:rsidR="00A40CA0" w:rsidRPr="00ED0E75" w:rsidRDefault="00D97BBA">
      <w:pPr>
        <w:pStyle w:val="Lijstalinea"/>
        <w:numPr>
          <w:ilvl w:val="0"/>
          <w:numId w:val="2"/>
        </w:numPr>
        <w:spacing w:after="160" w:line="288" w:lineRule="auto"/>
        <w:jc w:val="both"/>
        <w:rPr>
          <w:lang w:val="fr-BE"/>
        </w:rPr>
      </w:pPr>
      <w:r w:rsidRPr="00ED0E75">
        <w:rPr>
          <w:lang w:val="fr-BE"/>
        </w:rPr>
        <w:t>Si Wealtheon ne respecte pas ses obligations, vous pouvez introduire une plainte – tant auprès de Wealtheon elle-même qu’auprès de l’autorité de contrôle compétente.</w:t>
      </w:r>
    </w:p>
    <w:p w14:paraId="6689F4DB" w14:textId="77777777" w:rsidR="00A40CA0" w:rsidRPr="00ED0E75" w:rsidRDefault="00D97BBA">
      <w:pPr>
        <w:pStyle w:val="Lijstalinea"/>
        <w:numPr>
          <w:ilvl w:val="0"/>
          <w:numId w:val="2"/>
        </w:numPr>
        <w:spacing w:after="160" w:line="288" w:lineRule="auto"/>
        <w:jc w:val="both"/>
        <w:rPr>
          <w:lang w:val="fr-BE"/>
        </w:rPr>
      </w:pPr>
      <w:r w:rsidRPr="00ED0E75">
        <w:rPr>
          <w:lang w:val="fr-BE"/>
        </w:rPr>
        <w:t>Vous pouvez mettre fin unilatéralement à votre convention avec Wealtheon à tout moment, dans le respect des conditions contractuelles. Wealtheon dispose du même droit, dans les mêmes conditions.</w:t>
      </w:r>
    </w:p>
    <w:p w14:paraId="55836593" w14:textId="77777777" w:rsidR="00A40CA0" w:rsidRPr="00ED0E75" w:rsidRDefault="00D97BBA">
      <w:pPr>
        <w:pStyle w:val="Lijstalinea"/>
        <w:numPr>
          <w:ilvl w:val="0"/>
          <w:numId w:val="2"/>
        </w:numPr>
        <w:spacing w:after="160" w:line="288" w:lineRule="auto"/>
        <w:jc w:val="both"/>
        <w:rPr>
          <w:lang w:val="fr-BE"/>
        </w:rPr>
      </w:pPr>
      <w:r w:rsidRPr="00ED0E75">
        <w:rPr>
          <w:lang w:val="fr-BE"/>
        </w:rPr>
        <w:t>Wealtheon peut décider de mettre fin au dispositif de commercialisation de ses fonds maison ; vous en êtes informé.</w:t>
      </w:r>
    </w:p>
    <w:p w14:paraId="2CDCA773" w14:textId="69541EC2" w:rsidR="00A40CA0" w:rsidRPr="00ED0E75" w:rsidRDefault="00F458E9">
      <w:pPr>
        <w:pStyle w:val="Lijstalinea"/>
        <w:numPr>
          <w:ilvl w:val="0"/>
          <w:numId w:val="2"/>
        </w:numPr>
        <w:spacing w:after="160" w:line="288" w:lineRule="auto"/>
        <w:jc w:val="both"/>
        <w:rPr>
          <w:lang w:val="fr-BE"/>
        </w:rPr>
      </w:pPr>
      <w:r w:rsidRPr="00F458E9">
        <w:rPr>
          <w:lang w:val="fr-BE"/>
        </w:rPr>
        <w:t>Pour accéder aux mécanismes de recours collectif en cas de litige</w:t>
      </w:r>
      <w:r w:rsidR="004F5D5B" w:rsidRPr="00ED0E75">
        <w:rPr>
          <w:lang w:val="fr-BE"/>
        </w:rPr>
        <w:t> : en Belgique, via l’action en réparation collective (Livre XVII, Titre 2 du CDE), et au niveau de l’UE, via le régime des actions représentatives (Directive (UE) 2020/1828).</w:t>
      </w:r>
    </w:p>
    <w:p w14:paraId="2810A199" w14:textId="0BB33FE4" w:rsidR="00A40CA0" w:rsidRPr="00ED0E75" w:rsidRDefault="00D97BBA">
      <w:pPr>
        <w:pStyle w:val="Kop1"/>
        <w:rPr>
          <w:lang w:val="fr-BE"/>
        </w:rPr>
      </w:pPr>
      <w:r w:rsidRPr="00ED0E75">
        <w:rPr>
          <w:lang w:val="fr-BE"/>
        </w:rPr>
        <w:t>Wealtheon SA</w:t>
      </w:r>
    </w:p>
    <w:p w14:paraId="2114349D" w14:textId="5929175B" w:rsidR="00A40CA0" w:rsidRPr="00ED0E75" w:rsidRDefault="00D97BBA">
      <w:pPr>
        <w:spacing w:after="200" w:line="288" w:lineRule="auto"/>
        <w:jc w:val="both"/>
      </w:pPr>
      <w:r w:rsidRPr="00ED0E75">
        <w:t xml:space="preserve">La présente publication (2026) émane de Wealtheon SA, dont le siège social est </w:t>
      </w:r>
      <w:r w:rsidR="004D6D80">
        <w:t>établi</w:t>
      </w:r>
      <w:r w:rsidRPr="00ED0E75">
        <w:t xml:space="preserve"> </w:t>
      </w:r>
      <w:r w:rsidR="00805AC3">
        <w:t xml:space="preserve">à la </w:t>
      </w:r>
      <w:r w:rsidRPr="00ED0E75">
        <w:t>Chaussée de Waterloo 1135, 1180 Bruxelles – numéro d’entreprise/TVA BE 0423.072.032.</w:t>
      </w:r>
    </w:p>
    <w:p w14:paraId="1F333032" w14:textId="77777777" w:rsidR="00A40CA0" w:rsidRPr="00ED0E75" w:rsidRDefault="00D97BBA">
      <w:pPr>
        <w:spacing w:after="200" w:line="288" w:lineRule="auto"/>
        <w:jc w:val="both"/>
      </w:pPr>
      <w:r w:rsidRPr="00ED0E75">
        <w:t>Le contenu est fourni à titre purement informatif.</w:t>
      </w:r>
    </w:p>
    <w:p w14:paraId="09CCBABF" w14:textId="0D47FA59" w:rsidR="00A40CA0" w:rsidRPr="00ED0E75" w:rsidRDefault="00D97BBA">
      <w:pPr>
        <w:spacing w:after="200" w:line="288" w:lineRule="auto"/>
        <w:jc w:val="both"/>
      </w:pPr>
      <w:r w:rsidRPr="00ED0E75">
        <w:t xml:space="preserve">Le présent document ne constitue pas un conseil en investissement et ne </w:t>
      </w:r>
      <w:r w:rsidR="000923FE" w:rsidRPr="000923FE">
        <w:t>constitue pas non plus une offre</w:t>
      </w:r>
      <w:r w:rsidRPr="00ED0E75">
        <w:t xml:space="preserve"> ou une invitation à acheter, conserver ou vendre des actions, des obligations, des fonds d’investissement ou d’autres instruments</w:t>
      </w:r>
      <w:r w:rsidR="000923FE">
        <w:t xml:space="preserve"> financiers</w:t>
      </w:r>
      <w:r w:rsidRPr="00ED0E75">
        <w:t>.</w:t>
      </w:r>
    </w:p>
    <w:p w14:paraId="0E24D6EE" w14:textId="498A95D9" w:rsidR="00A40CA0" w:rsidRPr="00ED0E75" w:rsidRDefault="00D97BBA">
      <w:pPr>
        <w:spacing w:after="200" w:line="288" w:lineRule="auto"/>
        <w:jc w:val="both"/>
      </w:pPr>
      <w:r w:rsidRPr="00ED0E75">
        <w:t xml:space="preserve">Aucun élément de la présente publication ne peut être reproduit ou diffusé, en tout ou en partie, sans l’autorisation écrite préalable de Wealtheon SA. </w:t>
      </w:r>
      <w:r w:rsidR="00317362" w:rsidRPr="00317362">
        <w:t>Aucune modification ne peut être apportée sans son accord exprès</w:t>
      </w:r>
      <w:r w:rsidRPr="00ED0E75">
        <w:t>.</w:t>
      </w:r>
    </w:p>
    <w:p w14:paraId="36561C03" w14:textId="77777777" w:rsidR="00A40CA0" w:rsidRPr="00ED0E75" w:rsidRDefault="00D97BBA">
      <w:pPr>
        <w:spacing w:after="200" w:line="288" w:lineRule="auto"/>
        <w:jc w:val="both"/>
      </w:pPr>
      <w:r w:rsidRPr="00ED0E75">
        <w:t>La présente publication n’est pas destinée à être diffusée ou utilisée dans des pays ou juridictions où cela serait contraire aux lois ou réglementations en vigueur, ou où Wealtheon SA serait de ce fait soumise à des obligations d’enregistrement.</w:t>
      </w:r>
    </w:p>
    <w:p w14:paraId="207D77BB" w14:textId="199B433D" w:rsidR="00A40CA0" w:rsidRPr="00ED0E75" w:rsidRDefault="00D97BBA">
      <w:pPr>
        <w:spacing w:after="200" w:line="288" w:lineRule="auto"/>
        <w:jc w:val="both"/>
      </w:pPr>
      <w:r w:rsidRPr="00ED0E75">
        <w:t xml:space="preserve">En cas de plainte, adressez-vous au service clientèle de Wealtheon SA (Chaussée de Waterloo 1135, 1180 Bruxelles) ou </w:t>
      </w:r>
      <w:r w:rsidR="00317362">
        <w:t>à l’adresse</w:t>
      </w:r>
      <w:r w:rsidRPr="00ED0E75">
        <w:t xml:space="preserve"> </w:t>
      </w:r>
      <w:hyperlink r:id="rId8" w:history="1">
        <w:r w:rsidR="00A40CA0" w:rsidRPr="00ED0E75">
          <w:rPr>
            <w:color w:val="0563C1"/>
            <w:u w:val="single"/>
          </w:rPr>
          <w:t>info@wealtheon.eu</w:t>
        </w:r>
      </w:hyperlink>
      <w:r w:rsidRPr="00ED0E75">
        <w:t>. Si le litige persiste, vous pouvez vous adresser au Service de médiation pour le consommateur (</w:t>
      </w:r>
      <w:hyperlink r:id="rId9" w:history="1">
        <w:r w:rsidR="00A40CA0" w:rsidRPr="00ED0E75">
          <w:rPr>
            <w:color w:val="0563C1"/>
            <w:u w:val="single"/>
          </w:rPr>
          <w:t>www.mediationconsommateur.be</w:t>
        </w:r>
      </w:hyperlink>
      <w:r w:rsidRPr="00ED0E75">
        <w:t xml:space="preserve">) ou à Ombudsfin, spécialisé dans les litiges financiers (North Gate II, Boulevard du Roi Albert II 8, 1000 Bruxelles – </w:t>
      </w:r>
      <w:hyperlink r:id="rId10" w:history="1">
        <w:r w:rsidR="00A40CA0" w:rsidRPr="00ED0E75">
          <w:rPr>
            <w:color w:val="0563C1"/>
            <w:u w:val="single"/>
          </w:rPr>
          <w:t>www.ombudsfin.be</w:t>
        </w:r>
      </w:hyperlink>
      <w:r w:rsidRPr="00ED0E75">
        <w:t>).</w:t>
      </w:r>
    </w:p>
    <w:p w14:paraId="08671635" w14:textId="5E1868A5" w:rsidR="00A40CA0" w:rsidRPr="00ED0E75" w:rsidRDefault="00D97BBA">
      <w:pPr>
        <w:spacing w:before="240" w:after="40"/>
      </w:pPr>
      <w:r w:rsidRPr="00ED0E75">
        <w:rPr>
          <w:b/>
          <w:bCs/>
        </w:rPr>
        <w:t xml:space="preserve">Contact </w:t>
      </w:r>
      <w:r w:rsidR="00317362">
        <w:rPr>
          <w:b/>
          <w:bCs/>
        </w:rPr>
        <w:t>et</w:t>
      </w:r>
      <w:r w:rsidRPr="00ED0E75">
        <w:rPr>
          <w:b/>
          <w:bCs/>
        </w:rPr>
        <w:t xml:space="preserve"> site web</w:t>
      </w:r>
    </w:p>
    <w:p w14:paraId="1D1E551A" w14:textId="199C0266" w:rsidR="00A40CA0" w:rsidRDefault="00A40CA0" w:rsidP="00B4038C">
      <w:pPr>
        <w:spacing w:after="160"/>
      </w:pPr>
      <w:hyperlink r:id="rId11" w:history="1">
        <w:r w:rsidRPr="00ED0E75">
          <w:rPr>
            <w:color w:val="0563C1"/>
            <w:u w:val="single"/>
          </w:rPr>
          <w:t>info@wealtheon.eu</w:t>
        </w:r>
      </w:hyperlink>
      <w:r w:rsidR="00D97BBA" w:rsidRPr="00ED0E75">
        <w:t xml:space="preserve"> - </w:t>
      </w:r>
      <w:hyperlink r:id="rId12" w:history="1">
        <w:r w:rsidRPr="00ED0E75">
          <w:rPr>
            <w:color w:val="0563C1"/>
            <w:u w:val="single"/>
          </w:rPr>
          <w:t>www.wealtheon.eu</w:t>
        </w:r>
      </w:hyperlink>
    </w:p>
    <w:sectPr w:rsidR="00A40CA0" w:rsidSect="00747D8F">
      <w:headerReference w:type="default" r:id="rId13"/>
      <w:footerReference w:type="default" r:id="rId14"/>
      <w:pgSz w:w="11906" w:h="16838"/>
      <w:pgMar w:top="1985" w:right="1555" w:bottom="1800" w:left="1555"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FC85" w14:textId="77777777" w:rsidR="00356C73" w:rsidRPr="00ED0E75" w:rsidRDefault="00356C73">
      <w:r w:rsidRPr="00ED0E75">
        <w:separator/>
      </w:r>
    </w:p>
  </w:endnote>
  <w:endnote w:type="continuationSeparator" w:id="0">
    <w:p w14:paraId="39C11B13" w14:textId="77777777" w:rsidR="00356C73" w:rsidRPr="00ED0E75" w:rsidRDefault="00356C73">
      <w:r w:rsidRPr="00ED0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C336" w14:textId="77777777" w:rsidR="00A40CA0" w:rsidRPr="00ED0E75" w:rsidRDefault="00D97BBA">
    <w:pPr>
      <w:pBdr>
        <w:top w:val="single" w:sz="4" w:space="6" w:color="BFBFBF"/>
      </w:pBdr>
      <w:tabs>
        <w:tab w:val="right" w:pos="8796"/>
      </w:tabs>
      <w:spacing w:before="60"/>
    </w:pPr>
    <w:r w:rsidRPr="00ED0E75">
      <w:rPr>
        <w:sz w:val="16"/>
        <w:szCs w:val="16"/>
      </w:rPr>
      <w:t>Vos droits en tant que client – V08062026</w:t>
    </w:r>
    <w:r w:rsidRPr="00ED0E75">
      <w:rPr>
        <w:sz w:val="16"/>
        <w:szCs w:val="16"/>
      </w:rPr>
      <w:tab/>
    </w:r>
    <w:r w:rsidRPr="00ED0E75">
      <w:rPr>
        <w:sz w:val="16"/>
        <w:szCs w:val="16"/>
      </w:rPr>
      <w:fldChar w:fldCharType="begin"/>
    </w:r>
    <w:r w:rsidRPr="00ED0E75">
      <w:rPr>
        <w:sz w:val="16"/>
        <w:szCs w:val="16"/>
      </w:rPr>
      <w:instrText>PAGE</w:instrText>
    </w:r>
    <w:r w:rsidRPr="00ED0E75">
      <w:rPr>
        <w:sz w:val="16"/>
        <w:szCs w:val="16"/>
      </w:rPr>
      <w:fldChar w:fldCharType="separate"/>
    </w:r>
    <w:r w:rsidR="00B90A7A" w:rsidRPr="00ED0E75">
      <w:rPr>
        <w:sz w:val="16"/>
        <w:szCs w:val="16"/>
      </w:rPr>
      <w:t>1</w:t>
    </w:r>
    <w:r w:rsidRPr="00ED0E7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DD22" w14:textId="77777777" w:rsidR="00356C73" w:rsidRPr="00ED0E75" w:rsidRDefault="00356C73">
      <w:r w:rsidRPr="00ED0E75">
        <w:separator/>
      </w:r>
    </w:p>
  </w:footnote>
  <w:footnote w:type="continuationSeparator" w:id="0">
    <w:p w14:paraId="1B55B67B" w14:textId="77777777" w:rsidR="00356C73" w:rsidRPr="00ED0E75" w:rsidRDefault="00356C73">
      <w:r w:rsidRPr="00ED0E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097B" w14:textId="77777777" w:rsidR="00A40CA0" w:rsidRPr="00ED0E75" w:rsidRDefault="00D97BBA">
    <w:pPr>
      <w:jc w:val="right"/>
    </w:pPr>
    <w:r w:rsidRPr="00ED0E75">
      <w:rPr>
        <w:noProof/>
      </w:rPr>
      <w:drawing>
        <wp:inline distT="0" distB="0" distL="0" distR="0" wp14:anchorId="1BEEB56C" wp14:editId="2FB2BD56">
          <wp:extent cx="1504950" cy="514350"/>
          <wp:effectExtent l="0" t="0" r="0" b="0"/>
          <wp:docPr id="1517409346" name="Afbeelding 151740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049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1EB9"/>
    <w:multiLevelType w:val="hybridMultilevel"/>
    <w:tmpl w:val="AB8EE4E2"/>
    <w:lvl w:ilvl="0" w:tplc="4A38B4D8">
      <w:start w:val="1"/>
      <w:numFmt w:val="bullet"/>
      <w:lvlText w:val="●"/>
      <w:lvlJc w:val="left"/>
      <w:pPr>
        <w:ind w:left="720" w:hanging="360"/>
      </w:pPr>
    </w:lvl>
    <w:lvl w:ilvl="1" w:tplc="3C38BD32">
      <w:start w:val="1"/>
      <w:numFmt w:val="bullet"/>
      <w:lvlText w:val="○"/>
      <w:lvlJc w:val="left"/>
      <w:pPr>
        <w:ind w:left="1440" w:hanging="360"/>
      </w:pPr>
    </w:lvl>
    <w:lvl w:ilvl="2" w:tplc="A1C22EAE">
      <w:start w:val="1"/>
      <w:numFmt w:val="bullet"/>
      <w:lvlText w:val="■"/>
      <w:lvlJc w:val="left"/>
      <w:pPr>
        <w:ind w:left="2160" w:hanging="360"/>
      </w:pPr>
    </w:lvl>
    <w:lvl w:ilvl="3" w:tplc="3E6AE1FC">
      <w:start w:val="1"/>
      <w:numFmt w:val="bullet"/>
      <w:lvlText w:val="●"/>
      <w:lvlJc w:val="left"/>
      <w:pPr>
        <w:ind w:left="2880" w:hanging="360"/>
      </w:pPr>
    </w:lvl>
    <w:lvl w:ilvl="4" w:tplc="1ED40A36">
      <w:start w:val="1"/>
      <w:numFmt w:val="bullet"/>
      <w:lvlText w:val="○"/>
      <w:lvlJc w:val="left"/>
      <w:pPr>
        <w:ind w:left="3600" w:hanging="360"/>
      </w:pPr>
    </w:lvl>
    <w:lvl w:ilvl="5" w:tplc="0FA0AF7A">
      <w:start w:val="1"/>
      <w:numFmt w:val="bullet"/>
      <w:lvlText w:val="■"/>
      <w:lvlJc w:val="left"/>
      <w:pPr>
        <w:ind w:left="4320" w:hanging="360"/>
      </w:pPr>
    </w:lvl>
    <w:lvl w:ilvl="6" w:tplc="5DEE0BD8">
      <w:start w:val="1"/>
      <w:numFmt w:val="bullet"/>
      <w:lvlText w:val="●"/>
      <w:lvlJc w:val="left"/>
      <w:pPr>
        <w:ind w:left="5040" w:hanging="360"/>
      </w:pPr>
    </w:lvl>
    <w:lvl w:ilvl="7" w:tplc="9B9C2BA6">
      <w:start w:val="1"/>
      <w:numFmt w:val="bullet"/>
      <w:lvlText w:val="●"/>
      <w:lvlJc w:val="left"/>
      <w:pPr>
        <w:ind w:left="5760" w:hanging="360"/>
      </w:pPr>
    </w:lvl>
    <w:lvl w:ilvl="8" w:tplc="0B1464F6">
      <w:start w:val="1"/>
      <w:numFmt w:val="bullet"/>
      <w:lvlText w:val="●"/>
      <w:lvlJc w:val="left"/>
      <w:pPr>
        <w:ind w:left="6480" w:hanging="360"/>
      </w:pPr>
    </w:lvl>
  </w:abstractNum>
  <w:abstractNum w:abstractNumId="1" w15:restartNumberingAfterBreak="0">
    <w:nsid w:val="7F6D5151"/>
    <w:multiLevelType w:val="hybridMultilevel"/>
    <w:tmpl w:val="B7421452"/>
    <w:lvl w:ilvl="0" w:tplc="E30CD972">
      <w:start w:val="1"/>
      <w:numFmt w:val="decimal"/>
      <w:lvlText w:val="%1."/>
      <w:lvlJc w:val="left"/>
      <w:pPr>
        <w:ind w:left="425" w:hanging="425"/>
      </w:pPr>
    </w:lvl>
    <w:lvl w:ilvl="1" w:tplc="68306CB0">
      <w:numFmt w:val="decimal"/>
      <w:lvlText w:val=""/>
      <w:lvlJc w:val="left"/>
    </w:lvl>
    <w:lvl w:ilvl="2" w:tplc="F50EC02C">
      <w:numFmt w:val="decimal"/>
      <w:lvlText w:val=""/>
      <w:lvlJc w:val="left"/>
    </w:lvl>
    <w:lvl w:ilvl="3" w:tplc="CC0A48D6">
      <w:numFmt w:val="decimal"/>
      <w:lvlText w:val=""/>
      <w:lvlJc w:val="left"/>
    </w:lvl>
    <w:lvl w:ilvl="4" w:tplc="BFAEF0D6">
      <w:numFmt w:val="decimal"/>
      <w:lvlText w:val=""/>
      <w:lvlJc w:val="left"/>
    </w:lvl>
    <w:lvl w:ilvl="5" w:tplc="CE2884B4">
      <w:numFmt w:val="decimal"/>
      <w:lvlText w:val=""/>
      <w:lvlJc w:val="left"/>
    </w:lvl>
    <w:lvl w:ilvl="6" w:tplc="6276B9FE">
      <w:numFmt w:val="decimal"/>
      <w:lvlText w:val=""/>
      <w:lvlJc w:val="left"/>
    </w:lvl>
    <w:lvl w:ilvl="7" w:tplc="F90288F8">
      <w:numFmt w:val="decimal"/>
      <w:lvlText w:val=""/>
      <w:lvlJc w:val="left"/>
    </w:lvl>
    <w:lvl w:ilvl="8" w:tplc="277C2A34">
      <w:numFmt w:val="decimal"/>
      <w:lvlText w:val=""/>
      <w:lvlJc w:val="left"/>
    </w:lvl>
  </w:abstractNum>
  <w:num w:numId="1" w16cid:durableId="822545794">
    <w:abstractNumId w:val="0"/>
    <w:lvlOverride w:ilvl="0">
      <w:startOverride w:val="1"/>
    </w:lvlOverride>
  </w:num>
  <w:num w:numId="2" w16cid:durableId="5771336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A0"/>
    <w:rsid w:val="000923FE"/>
    <w:rsid w:val="000C7DA3"/>
    <w:rsid w:val="00123B35"/>
    <w:rsid w:val="00194B97"/>
    <w:rsid w:val="00267DAE"/>
    <w:rsid w:val="00317362"/>
    <w:rsid w:val="00356C73"/>
    <w:rsid w:val="0046137A"/>
    <w:rsid w:val="004B79EC"/>
    <w:rsid w:val="004D6D80"/>
    <w:rsid w:val="004D77FA"/>
    <w:rsid w:val="004F5D5B"/>
    <w:rsid w:val="004F651A"/>
    <w:rsid w:val="00571B54"/>
    <w:rsid w:val="00595E66"/>
    <w:rsid w:val="00704AA8"/>
    <w:rsid w:val="00747D8F"/>
    <w:rsid w:val="00793BA8"/>
    <w:rsid w:val="00805AC3"/>
    <w:rsid w:val="0082304C"/>
    <w:rsid w:val="00887528"/>
    <w:rsid w:val="008C0BD8"/>
    <w:rsid w:val="009E5005"/>
    <w:rsid w:val="00A40CA0"/>
    <w:rsid w:val="00AC5A0B"/>
    <w:rsid w:val="00B4038C"/>
    <w:rsid w:val="00B90A7A"/>
    <w:rsid w:val="00BB77A2"/>
    <w:rsid w:val="00D97BBA"/>
    <w:rsid w:val="00ED0E75"/>
    <w:rsid w:val="00F458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EB61"/>
  <w15:docId w15:val="{4AD6A1D2-A9FB-4E8A-9345-4671AF4D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595959"/>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BE"/>
    </w:rPr>
  </w:style>
  <w:style w:type="paragraph" w:styleId="Kop1">
    <w:name w:val="heading 1"/>
    <w:uiPriority w:val="9"/>
    <w:qFormat/>
    <w:pPr>
      <w:spacing w:before="360" w:after="240"/>
      <w:outlineLvl w:val="0"/>
    </w:pPr>
    <w:rPr>
      <w:sz w:val="36"/>
      <w:szCs w:val="36"/>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887528"/>
    <w:pPr>
      <w:tabs>
        <w:tab w:val="center" w:pos="4536"/>
        <w:tab w:val="right" w:pos="9072"/>
      </w:tabs>
    </w:pPr>
  </w:style>
  <w:style w:type="character" w:customStyle="1" w:styleId="KoptekstChar">
    <w:name w:val="Koptekst Char"/>
    <w:basedOn w:val="Standaardalinea-lettertype"/>
    <w:link w:val="Koptekst"/>
    <w:uiPriority w:val="99"/>
    <w:rsid w:val="00887528"/>
  </w:style>
  <w:style w:type="paragraph" w:styleId="Voettekst">
    <w:name w:val="footer"/>
    <w:basedOn w:val="Standaard"/>
    <w:link w:val="VoettekstChar"/>
    <w:uiPriority w:val="99"/>
    <w:unhideWhenUsed/>
    <w:rsid w:val="00887528"/>
    <w:pPr>
      <w:tabs>
        <w:tab w:val="center" w:pos="4536"/>
        <w:tab w:val="right" w:pos="9072"/>
      </w:tabs>
    </w:pPr>
  </w:style>
  <w:style w:type="character" w:customStyle="1" w:styleId="VoettekstChar">
    <w:name w:val="Voettekst Char"/>
    <w:basedOn w:val="Standaardalinea-lettertype"/>
    <w:link w:val="Voettekst"/>
    <w:uiPriority w:val="99"/>
    <w:rsid w:val="0088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wealtheon.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ltheon.eu/privacy" TargetMode="External"/><Relationship Id="rId12" Type="http://schemas.openxmlformats.org/officeDocument/2006/relationships/hyperlink" Target="https://www.wealtheon.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ealtheon.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mbudsfin.be" TargetMode="External"/><Relationship Id="rId4" Type="http://schemas.openxmlformats.org/officeDocument/2006/relationships/webSettings" Target="webSettings.xml"/><Relationship Id="rId9" Type="http://schemas.openxmlformats.org/officeDocument/2006/relationships/hyperlink" Target="https://mediationconsommateur.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748</Words>
  <Characters>4117</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 Vermeersch</cp:lastModifiedBy>
  <cp:revision>12</cp:revision>
  <dcterms:created xsi:type="dcterms:W3CDTF">2026-06-09T17:49:00Z</dcterms:created>
  <dcterms:modified xsi:type="dcterms:W3CDTF">2026-06-09T18:00:00Z</dcterms:modified>
</cp:coreProperties>
</file>